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6A48E0" w:rsidP="00194AA6">
      <w:pPr>
        <w:jc w:val="center"/>
      </w:pPr>
      <w:r>
        <w:rPr>
          <w:noProof/>
        </w:rPr>
        <w:drawing>
          <wp:inline distT="0" distB="0" distL="0" distR="0">
            <wp:extent cx="1712595" cy="1122045"/>
            <wp:effectExtent l="19050" t="0" r="1905"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2595" cy="1122045"/>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Default="00AD4693" w:rsidP="00194AA6">
      <w:pPr>
        <w:widowControl w:val="0"/>
        <w:jc w:val="center"/>
        <w:rPr>
          <w:sz w:val="22"/>
          <w:szCs w:val="22"/>
        </w:rPr>
      </w:pPr>
      <w:r>
        <w:rPr>
          <w:sz w:val="22"/>
          <w:szCs w:val="22"/>
        </w:rPr>
        <w:t>Georgia-Pacific Consumer Operations, LLC</w:t>
      </w:r>
    </w:p>
    <w:p w:rsidR="00194AA6" w:rsidRPr="000E6707" w:rsidRDefault="00AD4693" w:rsidP="00194AA6">
      <w:pPr>
        <w:widowControl w:val="0"/>
        <w:jc w:val="center"/>
        <w:rPr>
          <w:sz w:val="22"/>
          <w:szCs w:val="22"/>
          <w:highlight w:val="yellow"/>
        </w:rPr>
      </w:pPr>
      <w:r>
        <w:rPr>
          <w:sz w:val="22"/>
          <w:szCs w:val="22"/>
        </w:rPr>
        <w:t>Post Office Box 919</w:t>
      </w:r>
    </w:p>
    <w:p w:rsidR="00194AA6" w:rsidRPr="00746205" w:rsidRDefault="00AD4693" w:rsidP="00194AA6">
      <w:pPr>
        <w:widowControl w:val="0"/>
        <w:jc w:val="center"/>
        <w:rPr>
          <w:sz w:val="22"/>
          <w:szCs w:val="22"/>
        </w:rPr>
      </w:pPr>
      <w:r>
        <w:rPr>
          <w:sz w:val="22"/>
          <w:szCs w:val="22"/>
        </w:rPr>
        <w:t>Palatka, Florida  32178</w:t>
      </w:r>
    </w:p>
    <w:p w:rsidR="00194AA6" w:rsidRDefault="00194AA6" w:rsidP="00194AA6">
      <w:pPr>
        <w:widowControl w:val="0"/>
        <w:jc w:val="center"/>
        <w:rPr>
          <w:sz w:val="22"/>
          <w:szCs w:val="22"/>
          <w:highlight w:val="yellow"/>
        </w:rPr>
      </w:pPr>
    </w:p>
    <w:p w:rsidR="00194AA6" w:rsidRPr="00746205" w:rsidRDefault="00AD4693" w:rsidP="00194AA6">
      <w:pPr>
        <w:widowControl w:val="0"/>
        <w:jc w:val="center"/>
        <w:rPr>
          <w:sz w:val="22"/>
          <w:szCs w:val="22"/>
        </w:rPr>
      </w:pPr>
      <w:r>
        <w:rPr>
          <w:sz w:val="22"/>
          <w:szCs w:val="22"/>
        </w:rPr>
        <w:t>Palatka Mill</w:t>
      </w:r>
    </w:p>
    <w:p w:rsidR="00194AA6" w:rsidRDefault="00194AA6" w:rsidP="00194AA6">
      <w:pPr>
        <w:widowControl w:val="0"/>
        <w:jc w:val="center"/>
        <w:rPr>
          <w:sz w:val="22"/>
          <w:szCs w:val="22"/>
        </w:rPr>
      </w:pPr>
      <w:r w:rsidRPr="00746205">
        <w:rPr>
          <w:sz w:val="22"/>
          <w:szCs w:val="22"/>
        </w:rPr>
        <w:t xml:space="preserve">Facility ID No. </w:t>
      </w:r>
      <w:r w:rsidR="00AD4693">
        <w:rPr>
          <w:sz w:val="22"/>
          <w:szCs w:val="22"/>
        </w:rPr>
        <w:t>1070005</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AD4693" w:rsidRPr="00AD4693">
        <w:rPr>
          <w:sz w:val="22"/>
        </w:rPr>
        <w:t>1070005-080</w:t>
      </w:r>
      <w:r w:rsidR="008603FF" w:rsidRPr="00AD4693">
        <w:rPr>
          <w:sz w:val="22"/>
        </w:rPr>
        <w:t>-AC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AD4693" w:rsidP="00194AA6">
      <w:pPr>
        <w:jc w:val="center"/>
        <w:rPr>
          <w:sz w:val="22"/>
        </w:rPr>
      </w:pPr>
      <w:r>
        <w:rPr>
          <w:sz w:val="22"/>
          <w:szCs w:val="22"/>
        </w:rPr>
        <w:t xml:space="preserve">No. 4 Recovery Boiler </w:t>
      </w:r>
      <w:r w:rsidR="00784AD4">
        <w:rPr>
          <w:sz w:val="22"/>
          <w:szCs w:val="22"/>
        </w:rPr>
        <w:t xml:space="preserve">Conversion </w:t>
      </w:r>
      <w:r w:rsidR="00421ECE">
        <w:rPr>
          <w:sz w:val="22"/>
          <w:szCs w:val="22"/>
        </w:rPr>
        <w:t xml:space="preserve">of Oil Burners </w:t>
      </w:r>
      <w:r w:rsidR="00784AD4">
        <w:rPr>
          <w:sz w:val="22"/>
          <w:szCs w:val="22"/>
        </w:rPr>
        <w:t>to Natural Gas</w:t>
      </w:r>
      <w:r w:rsidR="00421ECE">
        <w:rPr>
          <w:sz w:val="22"/>
          <w:szCs w:val="22"/>
        </w:rPr>
        <w:t xml:space="preserve"> Burners</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AD4693" w:rsidP="00194AA6">
      <w:pPr>
        <w:jc w:val="center"/>
        <w:rPr>
          <w:sz w:val="22"/>
        </w:rPr>
      </w:pPr>
      <w:r>
        <w:rPr>
          <w:sz w:val="22"/>
        </w:rPr>
        <w:t>Putnam</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 Stone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F417C5" w:rsidP="00194AA6">
      <w:pPr>
        <w:jc w:val="center"/>
        <w:rPr>
          <w:sz w:val="22"/>
        </w:rPr>
      </w:pPr>
      <w:r>
        <w:rPr>
          <w:sz w:val="22"/>
        </w:rPr>
        <w:t xml:space="preserve">May </w:t>
      </w:r>
      <w:r w:rsidR="00E75FE8">
        <w:rPr>
          <w:sz w:val="22"/>
        </w:rPr>
        <w:t>16</w:t>
      </w:r>
      <w:r>
        <w:rPr>
          <w:sz w:val="22"/>
        </w:rPr>
        <w:t>,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pPr>
        <w:pStyle w:val="Heading9"/>
        <w:ind w:left="0"/>
        <w:rPr>
          <w:b/>
          <w:bCs/>
          <w:u w:val="none"/>
        </w:rPr>
      </w:pPr>
      <w:r>
        <w:rPr>
          <w:b/>
          <w:bCs/>
          <w:u w:val="none"/>
        </w:rPr>
        <w:t>Facility Description and Location</w:t>
      </w:r>
    </w:p>
    <w:p w:rsidR="00D44204" w:rsidRDefault="005858A3" w:rsidP="00D44204">
      <w:pPr>
        <w:pStyle w:val="BodyText3"/>
        <w:numPr>
          <w:ilvl w:val="12"/>
          <w:numId w:val="0"/>
        </w:numPr>
        <w:spacing w:before="0"/>
      </w:pPr>
      <w:r>
        <w:rPr>
          <w:szCs w:val="22"/>
        </w:rPr>
        <w:t>Georgia-Pacific Consumer Operations, LLC (Georgia-Pacific)</w:t>
      </w:r>
      <w:r w:rsidR="004123A6">
        <w:t xml:space="preserve"> </w:t>
      </w:r>
      <w:r w:rsidR="005E3506">
        <w:t>operates the existing</w:t>
      </w:r>
      <w:r w:rsidR="00D44204" w:rsidRPr="00940F63">
        <w:t xml:space="preserve"> Palatka Mill</w:t>
      </w:r>
      <w:r w:rsidR="005E3506">
        <w:t>, which is a</w:t>
      </w:r>
      <w:r w:rsidR="00D44204" w:rsidRPr="00940F63">
        <w:t xml:space="preserve"> Kraft</w:t>
      </w:r>
      <w:r w:rsidR="00D44204">
        <w:t xml:space="preserve"> pulp and paper mill </w:t>
      </w:r>
      <w:r w:rsidR="00D44204" w:rsidRPr="00FA5AB3">
        <w:t>that consists of major activities areas such as: chip handling, pulping, bleaching, chemical recovery, utilities, paper machines, converting, and turpentine and tall oil production.</w:t>
      </w:r>
      <w:r w:rsidR="00D44204">
        <w:t xml:space="preserve">  Refer to Figures 1 and 2.  T</w:t>
      </w:r>
      <w:r w:rsidR="00D44204" w:rsidRPr="004357DC">
        <w:rPr>
          <w:szCs w:val="22"/>
        </w:rPr>
        <w:t xml:space="preserve">he </w:t>
      </w:r>
      <w:r w:rsidR="00D44204" w:rsidRPr="00940F63">
        <w:rPr>
          <w:szCs w:val="22"/>
        </w:rPr>
        <w:t>existing Palatka Mill is located</w:t>
      </w:r>
      <w:r w:rsidR="00D44204" w:rsidRPr="004357DC">
        <w:rPr>
          <w:szCs w:val="22"/>
        </w:rPr>
        <w:t xml:space="preserve"> in </w:t>
      </w:r>
      <w:r w:rsidR="00D44204">
        <w:rPr>
          <w:szCs w:val="22"/>
        </w:rPr>
        <w:t>Putnam</w:t>
      </w:r>
      <w:r w:rsidR="00D44204" w:rsidRPr="004357DC">
        <w:rPr>
          <w:szCs w:val="22"/>
        </w:rPr>
        <w:t xml:space="preserve"> County at </w:t>
      </w:r>
      <w:r w:rsidR="00D44204">
        <w:rPr>
          <w:szCs w:val="22"/>
        </w:rPr>
        <w:t>215 County Road 216 in</w:t>
      </w:r>
      <w:r w:rsidR="00D44204" w:rsidRPr="004357DC">
        <w:rPr>
          <w:szCs w:val="22"/>
        </w:rPr>
        <w:t xml:space="preserve"> </w:t>
      </w:r>
      <w:r w:rsidR="00D44204" w:rsidRPr="00940F63">
        <w:rPr>
          <w:szCs w:val="22"/>
        </w:rPr>
        <w:t>Palatka, Florida</w:t>
      </w:r>
      <w:r w:rsidR="00D44204" w:rsidRPr="00940F63">
        <w:t>.</w:t>
      </w:r>
      <w:r w:rsidR="00D44204">
        <w:t xml:space="preserve">  </w:t>
      </w:r>
    </w:p>
    <w:p w:rsidR="00D44204" w:rsidRDefault="00D44204" w:rsidP="00D44204">
      <w:pPr>
        <w:pStyle w:val="Heading9"/>
        <w:spacing w:after="0"/>
        <w:ind w:left="0"/>
        <w:rPr>
          <w:u w:val="none"/>
        </w:rPr>
      </w:pPr>
      <w:r w:rsidRPr="00D44204">
        <w:rPr>
          <w:u w:val="none"/>
        </w:rPr>
        <w:t xml:space="preserve">The pulp and paper mill is categorized under </w:t>
      </w:r>
      <w:r w:rsidRPr="00D44204">
        <w:rPr>
          <w:bCs/>
          <w:u w:val="none"/>
        </w:rPr>
        <w:t xml:space="preserve">Standard Industrial Classification (SIC) Code Nos. 2611 and 2621. </w:t>
      </w:r>
      <w:r w:rsidRPr="00D44204">
        <w:rPr>
          <w:u w:val="none"/>
        </w:rPr>
        <w:t xml:space="preserve"> T</w:t>
      </w:r>
      <w:r w:rsidRPr="00D44204">
        <w:rPr>
          <w:szCs w:val="22"/>
          <w:u w:val="none"/>
        </w:rPr>
        <w:t xml:space="preserve">he </w:t>
      </w:r>
      <w:r w:rsidRPr="00D44204">
        <w:rPr>
          <w:u w:val="none"/>
        </w:rPr>
        <w:t xml:space="preserve">UTM coordinates of the existing facility are Zone 17, 434.0 kilometers (km) </w:t>
      </w:r>
      <w:proofErr w:type="gramStart"/>
      <w:r w:rsidRPr="00D44204">
        <w:rPr>
          <w:u w:val="none"/>
        </w:rPr>
        <w:t>East</w:t>
      </w:r>
      <w:proofErr w:type="gramEnd"/>
      <w:r w:rsidRPr="00D44204">
        <w:rPr>
          <w:u w:val="none"/>
        </w:rPr>
        <w:t>, and 3283.4 km North.  This site is in an area that is in attainment (or designated as unclassifiable) for all air pollutants subject to Ambient Air Quality Standards (AAQS).</w:t>
      </w:r>
    </w:p>
    <w:p w:rsidR="00D44204" w:rsidRDefault="00D44204" w:rsidP="00D44204"/>
    <w:p w:rsidR="00D44204" w:rsidRDefault="00D44204" w:rsidP="00D44204">
      <w:pPr>
        <w:pStyle w:val="BodyText3"/>
        <w:numPr>
          <w:ilvl w:val="12"/>
          <w:numId w:val="0"/>
        </w:numPr>
        <w:tabs>
          <w:tab w:val="left" w:pos="4860"/>
        </w:tabs>
        <w:spacing w:before="0" w:after="60"/>
      </w:pPr>
      <w:r>
        <w:rPr>
          <w:b/>
          <w:bCs/>
          <w:noProof/>
        </w:rPr>
        <w:pict>
          <v:shapetype id="_x0000_t202" coordsize="21600,21600" o:spt="202" path="m,l,21600r21600,l21600,xe">
            <v:stroke joinstyle="miter"/>
            <v:path gradientshapeok="t" o:connecttype="rect"/>
          </v:shapetype>
          <v:shape id="_x0000_s1026" type="#_x0000_t202" style="position:absolute;margin-left:306.6pt;margin-top:63.25pt;width:89.95pt;height:18.7pt;z-index:251656704;mso-height-percent:200;mso-height-percent:200;mso-width-relative:margin;mso-height-relative:margin" filled="f" stroked="f">
            <v:textbox style="mso-next-textbox:#_x0000_s1026;mso-fit-shape-to-text:t">
              <w:txbxContent>
                <w:p w:rsidR="007D1276" w:rsidRPr="00BF4986" w:rsidRDefault="007D1276" w:rsidP="00D44204">
                  <w:pPr>
                    <w:rPr>
                      <w:rFonts w:ascii="Arial" w:hAnsi="Arial" w:cs="Arial"/>
                      <w:color w:val="FF0000"/>
                    </w:rPr>
                  </w:pPr>
                  <w:r w:rsidRPr="00BF4986">
                    <w:rPr>
                      <w:rFonts w:ascii="Arial" w:hAnsi="Arial" w:cs="Arial"/>
                      <w:color w:val="FF0000"/>
                    </w:rPr>
                    <w:t>Palatka Mill</w:t>
                  </w:r>
                  <w:r>
                    <w:rPr>
                      <w:rFonts w:ascii="Arial" w:hAnsi="Arial" w:cs="Arial"/>
                      <w:color w:val="FF0000"/>
                    </w:rPr>
                    <w:t xml:space="preserve"> </w:t>
                  </w:r>
                  <w:r w:rsidRPr="00BF4986">
                    <w:rPr>
                      <w:rFonts w:ascii="Arial" w:hAnsi="Arial" w:cs="Arial"/>
                      <w:color w:val="FF0000"/>
                    </w:rPr>
                    <w:t>▲</w:t>
                  </w:r>
                </w:p>
              </w:txbxContent>
            </v:textbox>
          </v:shape>
        </w:pict>
      </w:r>
      <w:r>
        <w:rPr>
          <w:noProof/>
        </w:rPr>
        <w:pict>
          <v:shapetype id="_x0000_t32" coordsize="21600,21600" o:spt="32" o:oned="t" path="m,l21600,21600e" filled="f">
            <v:path arrowok="t" fillok="f" o:connecttype="none"/>
            <o:lock v:ext="edit" shapetype="t"/>
          </v:shapetype>
          <v:shape id="_x0000_s1028" type="#_x0000_t32" style="position:absolute;margin-left:95.35pt;margin-top:56.45pt;width:66.65pt;height:9.25pt;flip:y;z-index:251658752" o:connectortype="straight">
            <v:stroke endarrow="block"/>
          </v:shape>
        </w:pict>
      </w:r>
      <w:r>
        <w:rPr>
          <w:noProof/>
        </w:rPr>
        <w:pict>
          <v:shape id="_x0000_s1027" type="#_x0000_t202" style="position:absolute;margin-left:13.95pt;margin-top:56.45pt;width:100.6pt;height:18.7pt;z-index:251657728;mso-height-percent:200;mso-height-percent:200;mso-width-relative:margin;mso-height-relative:margin" filled="f" stroked="f">
            <v:textbox style="mso-next-textbox:#_x0000_s1027;mso-fit-shape-to-text:t">
              <w:txbxContent>
                <w:p w:rsidR="007D1276" w:rsidRPr="00A319AB" w:rsidRDefault="007D1276" w:rsidP="00D44204">
                  <w:pPr>
                    <w:rPr>
                      <w:rFonts w:ascii="Arial" w:hAnsi="Arial" w:cs="Arial"/>
                    </w:rPr>
                  </w:pPr>
                  <w:r w:rsidRPr="00A319AB">
                    <w:rPr>
                      <w:rFonts w:ascii="Arial" w:hAnsi="Arial" w:cs="Arial"/>
                    </w:rPr>
                    <w:t>Putnam County</w:t>
                  </w:r>
                </w:p>
              </w:txbxContent>
            </v:textbox>
          </v:shape>
        </w:pict>
      </w:r>
      <w:r w:rsidR="006A48E0">
        <w:rPr>
          <w:noProof/>
        </w:rPr>
        <w:drawing>
          <wp:inline distT="0" distB="0" distL="0" distR="0">
            <wp:extent cx="2859405" cy="2801620"/>
            <wp:effectExtent l="19050" t="19050" r="17145" b="17780"/>
            <wp:docPr id="2" name="Picture 2" descr="pu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tnam"/>
                    <pic:cNvPicPr>
                      <a:picLocks noChangeAspect="1" noChangeArrowheads="1"/>
                    </pic:cNvPicPr>
                  </pic:nvPicPr>
                  <pic:blipFill>
                    <a:blip r:embed="rId9" cstate="print"/>
                    <a:srcRect/>
                    <a:stretch>
                      <a:fillRect/>
                    </a:stretch>
                  </pic:blipFill>
                  <pic:spPr bwMode="auto">
                    <a:xfrm>
                      <a:off x="0" y="0"/>
                      <a:ext cx="2859405" cy="2801620"/>
                    </a:xfrm>
                    <a:prstGeom prst="rect">
                      <a:avLst/>
                    </a:prstGeom>
                    <a:noFill/>
                    <a:ln w="12700" cmpd="sng">
                      <a:solidFill>
                        <a:srgbClr val="000000"/>
                      </a:solidFill>
                      <a:miter lim="800000"/>
                      <a:headEnd/>
                      <a:tailEnd/>
                    </a:ln>
                    <a:effectLst/>
                  </pic:spPr>
                </pic:pic>
              </a:graphicData>
            </a:graphic>
          </wp:inline>
        </w:drawing>
      </w:r>
      <w:r>
        <w:tab/>
      </w:r>
      <w:r w:rsidR="006A48E0">
        <w:rPr>
          <w:noProof/>
        </w:rPr>
        <w:drawing>
          <wp:inline distT="0" distB="0" distL="0" distR="0">
            <wp:extent cx="2826385" cy="2801620"/>
            <wp:effectExtent l="19050" t="19050" r="12065" b="17780"/>
            <wp:docPr id="3" name="Picture 3" descr="putnam_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tnam_map"/>
                    <pic:cNvPicPr>
                      <a:picLocks noChangeAspect="1" noChangeArrowheads="1"/>
                    </pic:cNvPicPr>
                  </pic:nvPicPr>
                  <pic:blipFill>
                    <a:blip r:embed="rId10" cstate="print"/>
                    <a:srcRect/>
                    <a:stretch>
                      <a:fillRect/>
                    </a:stretch>
                  </pic:blipFill>
                  <pic:spPr bwMode="auto">
                    <a:xfrm>
                      <a:off x="0" y="0"/>
                      <a:ext cx="2826385" cy="2801620"/>
                    </a:xfrm>
                    <a:prstGeom prst="rect">
                      <a:avLst/>
                    </a:prstGeom>
                    <a:noFill/>
                    <a:ln w="12700" cmpd="sng">
                      <a:solidFill>
                        <a:srgbClr val="000000"/>
                      </a:solidFill>
                      <a:miter lim="800000"/>
                      <a:headEnd/>
                      <a:tailEnd/>
                    </a:ln>
                    <a:effectLst/>
                  </pic:spPr>
                </pic:pic>
              </a:graphicData>
            </a:graphic>
          </wp:inline>
        </w:drawing>
      </w:r>
    </w:p>
    <w:p w:rsidR="004123A6" w:rsidRPr="006C252F" w:rsidRDefault="00D44204" w:rsidP="00D44204">
      <w:pPr>
        <w:pStyle w:val="BodyText3"/>
        <w:numPr>
          <w:ilvl w:val="12"/>
          <w:numId w:val="0"/>
        </w:numPr>
        <w:tabs>
          <w:tab w:val="left" w:pos="4860"/>
        </w:tabs>
        <w:spacing w:before="0"/>
        <w:sectPr w:rsidR="004123A6" w:rsidRPr="006C252F" w:rsidSect="00784AD4">
          <w:headerReference w:type="default" r:id="rId11"/>
          <w:footerReference w:type="default" r:id="rId12"/>
          <w:headerReference w:type="first" r:id="rId13"/>
          <w:footerReference w:type="first" r:id="rId14"/>
          <w:pgSz w:w="12240" w:h="15840" w:code="1"/>
          <w:pgMar w:top="720" w:right="1080" w:bottom="720" w:left="1080" w:header="720" w:footer="386" w:gutter="0"/>
          <w:paperSrc w:first="15" w:other="15"/>
          <w:cols w:space="720"/>
        </w:sectPr>
      </w:pPr>
      <w:r w:rsidRPr="006C252F">
        <w:t>Figure 1 – Location of Putnam County, Florida</w:t>
      </w:r>
      <w:r w:rsidRPr="006C252F">
        <w:tab/>
        <w:t>Figure 2 – Location of Palatka Mill</w:t>
      </w:r>
    </w:p>
    <w:p w:rsidR="00D44204" w:rsidRDefault="00D44204" w:rsidP="00F417C5">
      <w:pPr>
        <w:pStyle w:val="BodyText2"/>
        <w:numPr>
          <w:ilvl w:val="0"/>
          <w:numId w:val="0"/>
        </w:numPr>
        <w:jc w:val="left"/>
        <w:rPr>
          <w:b/>
          <w:bCs/>
          <w:szCs w:val="22"/>
        </w:rPr>
      </w:pPr>
      <w:r w:rsidRPr="00BF4067">
        <w:rPr>
          <w:b/>
          <w:bCs/>
          <w:szCs w:val="22"/>
        </w:rPr>
        <w:t>Pro</w:t>
      </w:r>
      <w:r>
        <w:rPr>
          <w:b/>
          <w:bCs/>
          <w:szCs w:val="22"/>
        </w:rPr>
        <w:t>cess</w:t>
      </w:r>
      <w:r w:rsidRPr="00BF4067">
        <w:rPr>
          <w:b/>
          <w:bCs/>
          <w:szCs w:val="22"/>
        </w:rPr>
        <w:t xml:space="preserve"> Description</w:t>
      </w:r>
    </w:p>
    <w:p w:rsidR="00C21DFB" w:rsidRDefault="00C21DFB" w:rsidP="00F417C5">
      <w:pPr>
        <w:pStyle w:val="BodyText2"/>
        <w:numPr>
          <w:ilvl w:val="0"/>
          <w:numId w:val="0"/>
        </w:numPr>
        <w:jc w:val="left"/>
        <w:rPr>
          <w:szCs w:val="22"/>
        </w:rPr>
      </w:pPr>
      <w:r w:rsidRPr="009E2163">
        <w:t>The existing mill uses the Kraft sulfate process in which the digesting liquor (white liquor) is a solution of sodium hydroxide and sodium sulfide that is mixed with wood chips and cooked under pressure</w:t>
      </w:r>
      <w:r w:rsidR="00F417C5">
        <w:t xml:space="preserve"> (Figure 3)</w:t>
      </w:r>
      <w:r w:rsidRPr="009E2163">
        <w:t xml:space="preserve">.  </w:t>
      </w:r>
      <w:r w:rsidRPr="00BF4067">
        <w:rPr>
          <w:szCs w:val="22"/>
        </w:rPr>
        <w:t xml:space="preserve">Black liquor is a by-product from the digestion of wood chips.  </w:t>
      </w:r>
      <w:r>
        <w:rPr>
          <w:szCs w:val="22"/>
        </w:rPr>
        <w:t xml:space="preserve">Weak black liquor </w:t>
      </w:r>
      <w:r w:rsidRPr="00BF4067">
        <w:rPr>
          <w:szCs w:val="22"/>
        </w:rPr>
        <w:t xml:space="preserve">is concentrated and introduced into </w:t>
      </w:r>
      <w:r>
        <w:rPr>
          <w:szCs w:val="22"/>
        </w:rPr>
        <w:t xml:space="preserve">a </w:t>
      </w:r>
      <w:r w:rsidRPr="00BF4067">
        <w:rPr>
          <w:szCs w:val="22"/>
        </w:rPr>
        <w:t xml:space="preserve">special boiler known as a black liquor recovery boiler.  The organic fraction is burned </w:t>
      </w:r>
      <w:r>
        <w:rPr>
          <w:szCs w:val="22"/>
        </w:rPr>
        <w:t xml:space="preserve">in stages </w:t>
      </w:r>
      <w:r w:rsidRPr="00BF4067">
        <w:rPr>
          <w:szCs w:val="22"/>
        </w:rPr>
        <w:t>and the energy is recovered for steam production.</w:t>
      </w:r>
      <w:r>
        <w:rPr>
          <w:szCs w:val="22"/>
        </w:rPr>
        <w:t xml:space="preserve">  </w:t>
      </w:r>
    </w:p>
    <w:p w:rsidR="00C21DFB" w:rsidRDefault="00C21DFB" w:rsidP="00F417C5">
      <w:pPr>
        <w:pStyle w:val="BodyText2"/>
        <w:numPr>
          <w:ilvl w:val="0"/>
          <w:numId w:val="0"/>
        </w:numPr>
        <w:spacing w:after="240"/>
        <w:jc w:val="left"/>
        <w:rPr>
          <w:b/>
          <w:bCs/>
          <w:szCs w:val="22"/>
        </w:rPr>
      </w:pPr>
      <w:r w:rsidRPr="00BF4067">
        <w:rPr>
          <w:szCs w:val="22"/>
        </w:rPr>
        <w:t xml:space="preserve">The inorganic fraction </w:t>
      </w:r>
      <w:r>
        <w:rPr>
          <w:szCs w:val="22"/>
        </w:rPr>
        <w:t xml:space="preserve">containing the spent </w:t>
      </w:r>
      <w:r w:rsidRPr="00BF4067">
        <w:rPr>
          <w:szCs w:val="22"/>
        </w:rPr>
        <w:t>co</w:t>
      </w:r>
      <w:r>
        <w:rPr>
          <w:szCs w:val="22"/>
        </w:rPr>
        <w:t xml:space="preserve">oking chemicals (primarily sodium carbonate and sodium sulfide) is </w:t>
      </w:r>
      <w:r w:rsidRPr="00BF4067">
        <w:rPr>
          <w:szCs w:val="22"/>
        </w:rPr>
        <w:t xml:space="preserve">recovered as smelt </w:t>
      </w:r>
      <w:r>
        <w:rPr>
          <w:szCs w:val="22"/>
        </w:rPr>
        <w:t xml:space="preserve">from a bed of char that forms on the </w:t>
      </w:r>
      <w:r w:rsidRPr="00BF4067">
        <w:rPr>
          <w:szCs w:val="22"/>
        </w:rPr>
        <w:t>floor of the boiler</w:t>
      </w:r>
      <w:r w:rsidR="00F417C5">
        <w:rPr>
          <w:szCs w:val="22"/>
        </w:rPr>
        <w:t xml:space="preserve"> (Figure 4)</w:t>
      </w:r>
      <w:r w:rsidRPr="00BF4067">
        <w:rPr>
          <w:szCs w:val="22"/>
        </w:rPr>
        <w:t xml:space="preserve">.  The smelt </w:t>
      </w:r>
      <w:r>
        <w:rPr>
          <w:szCs w:val="22"/>
        </w:rPr>
        <w:t xml:space="preserve">drains, cools and is then </w:t>
      </w:r>
      <w:r w:rsidRPr="00BF4067">
        <w:rPr>
          <w:szCs w:val="22"/>
        </w:rPr>
        <w:t xml:space="preserve">diluted with water to make green liquor.  The green liquor is causticized </w:t>
      </w:r>
      <w:r>
        <w:rPr>
          <w:szCs w:val="22"/>
        </w:rPr>
        <w:t xml:space="preserve">with lime </w:t>
      </w:r>
      <w:r w:rsidRPr="00BF4067">
        <w:rPr>
          <w:szCs w:val="22"/>
        </w:rPr>
        <w:t xml:space="preserve">to make </w:t>
      </w:r>
      <w:r w:rsidR="00F417C5">
        <w:rPr>
          <w:szCs w:val="22"/>
        </w:rPr>
        <w:t xml:space="preserve">the </w:t>
      </w:r>
      <w:r w:rsidRPr="00BF4067">
        <w:rPr>
          <w:szCs w:val="22"/>
        </w:rPr>
        <w:t>white liquor for use in the digestion of wood chips.</w:t>
      </w:r>
    </w:p>
    <w:p w:rsidR="00D44204" w:rsidRDefault="006A48E0" w:rsidP="000E28BA">
      <w:pPr>
        <w:tabs>
          <w:tab w:val="left" w:pos="3780"/>
          <w:tab w:val="left" w:pos="5760"/>
        </w:tabs>
        <w:autoSpaceDE w:val="0"/>
        <w:autoSpaceDN w:val="0"/>
        <w:adjustRightInd w:val="0"/>
        <w:spacing w:after="120"/>
        <w:rPr>
          <w:szCs w:val="22"/>
        </w:rPr>
      </w:pPr>
      <w:r>
        <w:rPr>
          <w:noProof/>
          <w:szCs w:val="22"/>
        </w:rPr>
        <w:drawing>
          <wp:inline distT="0" distB="0" distL="0" distR="0">
            <wp:extent cx="3474720" cy="2610485"/>
            <wp:effectExtent l="19050" t="19050" r="11430" b="184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474720" cy="2610485"/>
                    </a:xfrm>
                    <a:prstGeom prst="rect">
                      <a:avLst/>
                    </a:prstGeom>
                    <a:noFill/>
                    <a:ln w="12700" cmpd="sng">
                      <a:solidFill>
                        <a:srgbClr val="000000"/>
                      </a:solidFill>
                      <a:miter lim="800000"/>
                      <a:headEnd/>
                      <a:tailEnd/>
                    </a:ln>
                    <a:effectLst/>
                  </pic:spPr>
                </pic:pic>
              </a:graphicData>
            </a:graphic>
          </wp:inline>
        </w:drawing>
      </w:r>
      <w:r w:rsidR="000E28BA">
        <w:rPr>
          <w:szCs w:val="22"/>
        </w:rPr>
        <w:tab/>
      </w:r>
      <w:r>
        <w:rPr>
          <w:noProof/>
          <w:szCs w:val="22"/>
        </w:rPr>
        <w:drawing>
          <wp:inline distT="0" distB="0" distL="0" distR="0">
            <wp:extent cx="2610485" cy="2336165"/>
            <wp:effectExtent l="0" t="152400" r="0" b="15938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rot="5400000">
                      <a:off x="0" y="0"/>
                      <a:ext cx="2610485" cy="2336165"/>
                    </a:xfrm>
                    <a:prstGeom prst="rect">
                      <a:avLst/>
                    </a:prstGeom>
                    <a:noFill/>
                    <a:ln w="12700" cmpd="sng">
                      <a:solidFill>
                        <a:srgbClr val="000000"/>
                      </a:solidFill>
                      <a:miter lim="800000"/>
                      <a:headEnd/>
                      <a:tailEnd/>
                    </a:ln>
                    <a:effectLst/>
                  </pic:spPr>
                </pic:pic>
              </a:graphicData>
            </a:graphic>
          </wp:inline>
        </w:drawing>
      </w:r>
    </w:p>
    <w:p w:rsidR="00D44204" w:rsidRPr="006C252F" w:rsidRDefault="00D44204" w:rsidP="006C252F">
      <w:pPr>
        <w:pStyle w:val="BodyText2"/>
        <w:numPr>
          <w:ilvl w:val="0"/>
          <w:numId w:val="0"/>
        </w:numPr>
        <w:tabs>
          <w:tab w:val="left" w:pos="5760"/>
          <w:tab w:val="left" w:pos="6570"/>
        </w:tabs>
        <w:jc w:val="left"/>
        <w:rPr>
          <w:szCs w:val="22"/>
        </w:rPr>
      </w:pPr>
      <w:r w:rsidRPr="006C252F">
        <w:rPr>
          <w:szCs w:val="22"/>
        </w:rPr>
        <w:t>Figure 3 – Chemical, Energy Recovery</w:t>
      </w:r>
      <w:r w:rsidR="000E28BA" w:rsidRPr="006C252F">
        <w:rPr>
          <w:szCs w:val="22"/>
        </w:rPr>
        <w:tab/>
        <w:t>Figure 4 – Char/Smelt Bed</w:t>
      </w:r>
    </w:p>
    <w:p w:rsidR="000E28BA" w:rsidRDefault="000E28BA" w:rsidP="001A4EBB">
      <w:pPr>
        <w:pStyle w:val="Heading9"/>
        <w:spacing w:before="240"/>
        <w:ind w:left="0"/>
        <w:rPr>
          <w:b/>
          <w:bCs/>
          <w:u w:val="none"/>
        </w:rPr>
      </w:pPr>
      <w:r>
        <w:rPr>
          <w:b/>
          <w:bCs/>
          <w:u w:val="none"/>
        </w:rPr>
        <w:t>Facility Regulatory Categories</w:t>
      </w:r>
    </w:p>
    <w:p w:rsidR="000E28BA" w:rsidRPr="00997A0F" w:rsidRDefault="000E28BA" w:rsidP="00BA1E83">
      <w:pPr>
        <w:numPr>
          <w:ilvl w:val="0"/>
          <w:numId w:val="3"/>
        </w:numPr>
        <w:spacing w:after="120"/>
        <w:rPr>
          <w:sz w:val="22"/>
          <w:szCs w:val="22"/>
        </w:rPr>
      </w:pPr>
      <w:r w:rsidRPr="00997A0F">
        <w:rPr>
          <w:sz w:val="22"/>
          <w:szCs w:val="22"/>
        </w:rPr>
        <w:t>The facility is a major source of hazardous air pollutants (HAP).</w:t>
      </w:r>
    </w:p>
    <w:p w:rsidR="000E28BA" w:rsidRPr="00997A0F" w:rsidRDefault="000E28BA" w:rsidP="00BA1E83">
      <w:pPr>
        <w:pStyle w:val="BodyText"/>
        <w:numPr>
          <w:ilvl w:val="0"/>
          <w:numId w:val="3"/>
        </w:numPr>
        <w:rPr>
          <w:sz w:val="22"/>
          <w:szCs w:val="22"/>
        </w:rPr>
      </w:pPr>
      <w:r w:rsidRPr="00997A0F">
        <w:rPr>
          <w:sz w:val="22"/>
          <w:szCs w:val="22"/>
        </w:rPr>
        <w:t>The facility does not operate units subject to the acid rain provisions of the Clean Air Act.</w:t>
      </w:r>
    </w:p>
    <w:p w:rsidR="000E28BA" w:rsidRPr="00997A0F" w:rsidRDefault="000E28BA" w:rsidP="00BA1E83">
      <w:pPr>
        <w:numPr>
          <w:ilvl w:val="0"/>
          <w:numId w:val="3"/>
        </w:numPr>
        <w:spacing w:after="120"/>
        <w:rPr>
          <w:sz w:val="22"/>
          <w:szCs w:val="22"/>
        </w:rPr>
      </w:pPr>
      <w:r w:rsidRPr="00997A0F">
        <w:rPr>
          <w:sz w:val="22"/>
          <w:szCs w:val="22"/>
        </w:rPr>
        <w:t>The facility is a Title V major source of air pollution in accordance with Chapter 62-213, F.A.C.</w:t>
      </w:r>
    </w:p>
    <w:p w:rsidR="000E28BA" w:rsidRPr="003E6FF4" w:rsidRDefault="000E28BA" w:rsidP="00BA1E83">
      <w:pPr>
        <w:numPr>
          <w:ilvl w:val="0"/>
          <w:numId w:val="3"/>
        </w:numPr>
        <w:spacing w:after="120"/>
        <w:rPr>
          <w:b/>
          <w:bCs/>
          <w:szCs w:val="22"/>
        </w:rPr>
      </w:pPr>
      <w:r w:rsidRPr="00997A0F">
        <w:rPr>
          <w:sz w:val="22"/>
          <w:szCs w:val="22"/>
        </w:rPr>
        <w:t>The facility is a major stationary source in accordance with Rule 62-212.400, F.A.C. for the Prevention of</w:t>
      </w:r>
      <w:r>
        <w:rPr>
          <w:sz w:val="22"/>
          <w:szCs w:val="22"/>
        </w:rPr>
        <w:t xml:space="preserve"> Significant Deterioration (PSD) of Air Quality.</w:t>
      </w:r>
    </w:p>
    <w:p w:rsidR="001A4EBB" w:rsidRDefault="003E6FF4" w:rsidP="00BA1E83">
      <w:pPr>
        <w:numPr>
          <w:ilvl w:val="0"/>
          <w:numId w:val="3"/>
        </w:numPr>
        <w:spacing w:after="120"/>
        <w:rPr>
          <w:sz w:val="22"/>
          <w:szCs w:val="22"/>
        </w:rPr>
      </w:pPr>
      <w:r w:rsidRPr="00BA1E83">
        <w:rPr>
          <w:sz w:val="22"/>
          <w:szCs w:val="22"/>
        </w:rPr>
        <w:t xml:space="preserve">The </w:t>
      </w:r>
      <w:r w:rsidR="001A4EBB" w:rsidRPr="00BA1E83">
        <w:rPr>
          <w:sz w:val="22"/>
          <w:szCs w:val="22"/>
        </w:rPr>
        <w:t xml:space="preserve">existing No. 4 Recovery Boiler is subject to the applicable federal </w:t>
      </w:r>
      <w:r w:rsidR="00C84373" w:rsidRPr="00BA1E83">
        <w:rPr>
          <w:sz w:val="22"/>
          <w:szCs w:val="22"/>
        </w:rPr>
        <w:t xml:space="preserve">National Emissions Standards for Hazardous Air Pollutants (NESHAP) </w:t>
      </w:r>
      <w:r w:rsidR="00BA1E83">
        <w:rPr>
          <w:sz w:val="22"/>
          <w:szCs w:val="22"/>
        </w:rPr>
        <w:t>provisions in Subpart</w:t>
      </w:r>
      <w:r w:rsidR="00421ECE">
        <w:rPr>
          <w:sz w:val="22"/>
          <w:szCs w:val="22"/>
        </w:rPr>
        <w:t>s</w:t>
      </w:r>
      <w:r w:rsidR="00BA1E83">
        <w:rPr>
          <w:sz w:val="22"/>
          <w:szCs w:val="22"/>
        </w:rPr>
        <w:t xml:space="preserve"> </w:t>
      </w:r>
      <w:r w:rsidR="00BA1E83" w:rsidRPr="00A60C1B">
        <w:rPr>
          <w:sz w:val="22"/>
          <w:szCs w:val="22"/>
        </w:rPr>
        <w:t xml:space="preserve">A (General Provisions) and </w:t>
      </w:r>
      <w:r w:rsidR="00BA1E83">
        <w:rPr>
          <w:sz w:val="22"/>
          <w:szCs w:val="22"/>
        </w:rPr>
        <w:t>MM</w:t>
      </w:r>
      <w:r w:rsidR="00BA1E83" w:rsidRPr="00A60C1B">
        <w:rPr>
          <w:sz w:val="22"/>
          <w:szCs w:val="22"/>
        </w:rPr>
        <w:t xml:space="preserve"> (National Emission Standards for Hazardous Air Pollutants for </w:t>
      </w:r>
      <w:r w:rsidR="00BA1E83">
        <w:rPr>
          <w:sz w:val="22"/>
          <w:szCs w:val="22"/>
        </w:rPr>
        <w:t>Chemical Recovery Combustion Sources at Kraft, Soda, Sulfite, and Stand-Alone Semichemical Pulp Mills</w:t>
      </w:r>
      <w:r w:rsidR="00BA1E83" w:rsidRPr="00A60C1B">
        <w:rPr>
          <w:sz w:val="22"/>
          <w:szCs w:val="22"/>
        </w:rPr>
        <w:t>)</w:t>
      </w:r>
      <w:r w:rsidR="00BA1E83">
        <w:rPr>
          <w:sz w:val="22"/>
          <w:szCs w:val="22"/>
        </w:rPr>
        <w:t xml:space="preserve"> </w:t>
      </w:r>
      <w:r w:rsidR="00C84373" w:rsidRPr="00BA1E83">
        <w:rPr>
          <w:sz w:val="22"/>
          <w:szCs w:val="22"/>
        </w:rPr>
        <w:t>of 40 CFR 63.</w:t>
      </w:r>
    </w:p>
    <w:p w:rsidR="006A48E0" w:rsidRDefault="006A48E0" w:rsidP="006A48E0">
      <w:pPr>
        <w:autoSpaceDE w:val="0"/>
        <w:autoSpaceDN w:val="0"/>
        <w:adjustRightInd w:val="0"/>
        <w:spacing w:before="120" w:after="120"/>
        <w:rPr>
          <w:b/>
          <w:sz w:val="22"/>
          <w:szCs w:val="22"/>
        </w:rPr>
      </w:pPr>
      <w:r>
        <w:rPr>
          <w:b/>
          <w:sz w:val="22"/>
          <w:szCs w:val="22"/>
        </w:rPr>
        <w:t>State Provisions</w:t>
      </w:r>
    </w:p>
    <w:p w:rsidR="006A48E0" w:rsidRPr="00115E6A" w:rsidRDefault="006A48E0" w:rsidP="006A48E0">
      <w:pPr>
        <w:autoSpaceDE w:val="0"/>
        <w:autoSpaceDN w:val="0"/>
        <w:adjustRightInd w:val="0"/>
        <w:spacing w:before="120" w:after="120"/>
        <w:rPr>
          <w:sz w:val="22"/>
          <w:szCs w:val="22"/>
        </w:rPr>
      </w:pPr>
      <w:r>
        <w:rPr>
          <w:sz w:val="22"/>
          <w:szCs w:val="22"/>
        </w:rPr>
        <w:t>The existing No. 4 Recovery Boiler is subject to Rules 62-296.404 (Kraft (Sulfate) Pulp Mills and Tall Oil Plants</w:t>
      </w:r>
      <w:r w:rsidRPr="00115E6A">
        <w:rPr>
          <w:sz w:val="22"/>
          <w:szCs w:val="22"/>
        </w:rPr>
        <w:t>)</w:t>
      </w:r>
      <w:r>
        <w:rPr>
          <w:sz w:val="22"/>
          <w:szCs w:val="22"/>
        </w:rPr>
        <w:t>,</w:t>
      </w:r>
      <w:r w:rsidRPr="00115E6A">
        <w:rPr>
          <w:sz w:val="22"/>
          <w:szCs w:val="22"/>
        </w:rPr>
        <w:t xml:space="preserve"> 62-</w:t>
      </w:r>
      <w:r>
        <w:rPr>
          <w:sz w:val="22"/>
          <w:szCs w:val="22"/>
        </w:rPr>
        <w:t>212.400</w:t>
      </w:r>
      <w:r w:rsidRPr="00115E6A">
        <w:rPr>
          <w:sz w:val="22"/>
          <w:szCs w:val="22"/>
        </w:rPr>
        <w:t xml:space="preserve"> </w:t>
      </w:r>
      <w:r>
        <w:rPr>
          <w:sz w:val="22"/>
          <w:szCs w:val="22"/>
        </w:rPr>
        <w:t xml:space="preserve">(BACT Determination for </w:t>
      </w:r>
      <w:r w:rsidRPr="00115E6A">
        <w:rPr>
          <w:sz w:val="22"/>
          <w:szCs w:val="22"/>
        </w:rPr>
        <w:t>CO, NO</w:t>
      </w:r>
      <w:r w:rsidRPr="00115E6A">
        <w:rPr>
          <w:sz w:val="22"/>
          <w:szCs w:val="22"/>
          <w:vertAlign w:val="subscript"/>
        </w:rPr>
        <w:t>X</w:t>
      </w:r>
      <w:r w:rsidRPr="00115E6A">
        <w:rPr>
          <w:sz w:val="22"/>
          <w:szCs w:val="22"/>
        </w:rPr>
        <w:t>, PM, and VOC emissions</w:t>
      </w:r>
      <w:r>
        <w:rPr>
          <w:sz w:val="22"/>
          <w:szCs w:val="22"/>
        </w:rPr>
        <w:t>), F.A.C</w:t>
      </w:r>
      <w:r w:rsidRPr="00115E6A">
        <w:rPr>
          <w:sz w:val="22"/>
          <w:szCs w:val="22"/>
        </w:rPr>
        <w:t xml:space="preserve">.  </w:t>
      </w:r>
      <w:r>
        <w:rPr>
          <w:sz w:val="22"/>
          <w:szCs w:val="22"/>
        </w:rPr>
        <w:t>The existing facility has met the applicable requirements of these rules.  The reporting and monitoring of actual emissions of NO</w:t>
      </w:r>
      <w:r w:rsidRPr="006F4F4C">
        <w:rPr>
          <w:sz w:val="22"/>
          <w:szCs w:val="22"/>
          <w:vertAlign w:val="subscript"/>
        </w:rPr>
        <w:t>X</w:t>
      </w:r>
      <w:r>
        <w:rPr>
          <w:sz w:val="22"/>
          <w:szCs w:val="22"/>
        </w:rPr>
        <w:t xml:space="preserve"> for 5 years following the project will ensure the PSD BACT determinations will be met.</w:t>
      </w:r>
    </w:p>
    <w:p w:rsidR="006A48E0" w:rsidRPr="00BF67F7" w:rsidRDefault="006A48E0" w:rsidP="006A48E0">
      <w:pPr>
        <w:autoSpaceDE w:val="0"/>
        <w:autoSpaceDN w:val="0"/>
        <w:adjustRightInd w:val="0"/>
        <w:spacing w:before="120" w:after="120"/>
        <w:rPr>
          <w:b/>
          <w:sz w:val="22"/>
          <w:szCs w:val="22"/>
        </w:rPr>
      </w:pPr>
      <w:r w:rsidRPr="00BF67F7">
        <w:rPr>
          <w:b/>
          <w:sz w:val="22"/>
          <w:szCs w:val="22"/>
        </w:rPr>
        <w:t>NSPS Provisions</w:t>
      </w:r>
    </w:p>
    <w:p w:rsidR="006A48E0" w:rsidRDefault="006A48E0" w:rsidP="006A48E0">
      <w:pPr>
        <w:widowControl w:val="0"/>
        <w:spacing w:after="120"/>
        <w:rPr>
          <w:sz w:val="22"/>
          <w:szCs w:val="22"/>
        </w:rPr>
      </w:pPr>
      <w:r w:rsidRPr="006C4E25">
        <w:rPr>
          <w:sz w:val="22"/>
          <w:szCs w:val="22"/>
        </w:rPr>
        <w:t>The existing Palatka</w:t>
      </w:r>
      <w:r>
        <w:rPr>
          <w:sz w:val="22"/>
          <w:szCs w:val="22"/>
        </w:rPr>
        <w:t xml:space="preserve"> Mill is not currently subject to NSPS Subpart BB (Standards of Performance for Kraft Pulp Mills) or Subpart Db (Standards of Performance for Industrial-Commercial-Institutional Steam generators) in 40 CFR 60.  An existing source can become subject to NSPS Subpart Db and NSPS Subpart BB if the existing facility is “</w:t>
      </w:r>
      <w:r w:rsidRPr="00B26FE3">
        <w:rPr>
          <w:i/>
          <w:sz w:val="22"/>
          <w:szCs w:val="22"/>
        </w:rPr>
        <w:t>modified</w:t>
      </w:r>
      <w:r>
        <w:rPr>
          <w:i/>
          <w:sz w:val="22"/>
          <w:szCs w:val="22"/>
        </w:rPr>
        <w:t>”</w:t>
      </w:r>
      <w:r>
        <w:rPr>
          <w:sz w:val="22"/>
          <w:szCs w:val="22"/>
        </w:rPr>
        <w:t xml:space="preserve"> or “</w:t>
      </w:r>
      <w:r w:rsidRPr="00B26FE3">
        <w:rPr>
          <w:i/>
          <w:sz w:val="22"/>
          <w:szCs w:val="22"/>
        </w:rPr>
        <w:t>reconstructed</w:t>
      </w:r>
      <w:r>
        <w:rPr>
          <w:i/>
          <w:sz w:val="22"/>
          <w:szCs w:val="22"/>
        </w:rPr>
        <w:t>”.</w:t>
      </w:r>
      <w:r>
        <w:rPr>
          <w:sz w:val="22"/>
          <w:szCs w:val="22"/>
        </w:rPr>
        <w:t xml:space="preserve">  </w:t>
      </w:r>
    </w:p>
    <w:p w:rsidR="006A48E0" w:rsidRDefault="006A48E0" w:rsidP="006A48E0">
      <w:pPr>
        <w:widowControl w:val="0"/>
        <w:spacing w:after="120"/>
        <w:ind w:left="360" w:right="900"/>
        <w:rPr>
          <w:sz w:val="22"/>
          <w:szCs w:val="22"/>
        </w:rPr>
      </w:pPr>
      <w:r>
        <w:rPr>
          <w:sz w:val="22"/>
          <w:szCs w:val="22"/>
        </w:rPr>
        <w:t xml:space="preserve">Modification is defined as </w:t>
      </w:r>
      <w:r w:rsidRPr="00831806">
        <w:rPr>
          <w:i/>
          <w:sz w:val="22"/>
          <w:szCs w:val="22"/>
        </w:rPr>
        <w:t>any physical or operational change to an existing facility which results in an increase in the emission rate to the atmosphere of any pollutant to which a standard applies shall be considered a modification</w:t>
      </w:r>
      <w:r>
        <w:rPr>
          <w:i/>
          <w:sz w:val="22"/>
          <w:szCs w:val="22"/>
        </w:rPr>
        <w:t>.</w:t>
      </w:r>
      <w:r w:rsidRPr="00B26FE3">
        <w:rPr>
          <w:i/>
          <w:sz w:val="22"/>
          <w:szCs w:val="22"/>
        </w:rPr>
        <w:t xml:space="preserve">  …</w:t>
      </w:r>
      <w:r>
        <w:rPr>
          <w:i/>
          <w:sz w:val="22"/>
          <w:szCs w:val="22"/>
        </w:rPr>
        <w:t>..</w:t>
      </w:r>
      <w:r w:rsidRPr="00B26FE3">
        <w:rPr>
          <w:i/>
          <w:sz w:val="22"/>
          <w:szCs w:val="22"/>
        </w:rPr>
        <w:t>use the following to determine emission rate:  Emission factors as specified in the latest issue of “Compilation of Air Pollutant Emission Factors,” EPA Publication No. AP-42.... where utilization of emission factors demonstrates that the emission level resulting from the physical or operational change will either clearly increase or clearly not increase</w:t>
      </w:r>
      <w:r>
        <w:rPr>
          <w:sz w:val="22"/>
          <w:szCs w:val="22"/>
        </w:rPr>
        <w:t>.</w:t>
      </w:r>
    </w:p>
    <w:p w:rsidR="006A48E0" w:rsidRDefault="006A48E0" w:rsidP="006A48E0">
      <w:pPr>
        <w:pStyle w:val="NormalWeb"/>
        <w:spacing w:before="0" w:beforeAutospacing="0" w:after="120" w:afterAutospacing="0"/>
        <w:ind w:left="360" w:firstLine="0"/>
        <w:rPr>
          <w:i/>
          <w:sz w:val="22"/>
          <w:szCs w:val="22"/>
        </w:rPr>
      </w:pPr>
      <w:r>
        <w:rPr>
          <w:sz w:val="22"/>
          <w:szCs w:val="22"/>
        </w:rPr>
        <w:t xml:space="preserve">Reconstruction is defined as </w:t>
      </w:r>
      <w:r w:rsidRPr="00121F41">
        <w:rPr>
          <w:i/>
          <w:sz w:val="22"/>
          <w:szCs w:val="22"/>
        </w:rPr>
        <w:t>the replacement of components of an existing facility to such an extent that the fixed capital cost of the new components exceeds 50 percent of the fixed capital cost that would be required to construct a comparable entirely new facility, and it is technologically and economically feasible to meet the applicable standards set forth in this part.</w:t>
      </w:r>
    </w:p>
    <w:p w:rsidR="006A48E0" w:rsidRPr="00BF67F7" w:rsidRDefault="006A48E0" w:rsidP="006A48E0">
      <w:pPr>
        <w:pStyle w:val="NormalWeb"/>
        <w:spacing w:before="0" w:beforeAutospacing="0" w:after="120" w:afterAutospacing="0"/>
        <w:ind w:firstLine="0"/>
        <w:rPr>
          <w:sz w:val="22"/>
          <w:szCs w:val="22"/>
          <w:u w:val="single"/>
        </w:rPr>
      </w:pPr>
      <w:r w:rsidRPr="00BF67F7">
        <w:rPr>
          <w:sz w:val="22"/>
          <w:szCs w:val="22"/>
          <w:u w:val="single"/>
        </w:rPr>
        <w:t xml:space="preserve">NSPS Subpart </w:t>
      </w:r>
      <w:r>
        <w:rPr>
          <w:sz w:val="22"/>
          <w:szCs w:val="22"/>
          <w:u w:val="single"/>
        </w:rPr>
        <w:t>BB</w:t>
      </w:r>
      <w:r w:rsidRPr="00BF67F7">
        <w:rPr>
          <w:sz w:val="22"/>
          <w:szCs w:val="22"/>
          <w:u w:val="single"/>
        </w:rPr>
        <w:t xml:space="preserve"> of 40 CFR 60</w:t>
      </w:r>
    </w:p>
    <w:p w:rsidR="006A48E0" w:rsidRDefault="006A48E0" w:rsidP="006A48E0">
      <w:pPr>
        <w:widowControl w:val="0"/>
        <w:spacing w:after="120"/>
        <w:rPr>
          <w:sz w:val="22"/>
          <w:szCs w:val="22"/>
        </w:rPr>
      </w:pPr>
      <w:r>
        <w:rPr>
          <w:sz w:val="22"/>
          <w:szCs w:val="22"/>
        </w:rPr>
        <w:t>NSPS Subpart BB</w:t>
      </w:r>
      <w:r w:rsidRPr="00831806">
        <w:rPr>
          <w:sz w:val="22"/>
          <w:szCs w:val="22"/>
        </w:rPr>
        <w:t xml:space="preserve"> </w:t>
      </w:r>
      <w:r>
        <w:rPr>
          <w:sz w:val="22"/>
          <w:szCs w:val="22"/>
        </w:rPr>
        <w:t>regulates emission of PM and TRS.  The replacement of the fuel oil burners with natural gas burners represents a physical change in the No. 4 Recovery Boiler.  However, according to the applicant, the change will not cause an increase in emissions of either PM or TRS on a maximum hourly basis.  Emissions of TRS are expected to be less since natural gas has less sulfur than No. 6 fuel oil.  Therefore, the proposed project will not be considered a modification to the No. 4 Recovery Boiler.  Additionally, the cost of the proposed component replacements to the No. 4 Recovery Boiler will be minimal, less than 50% of the cost of replacing the recovery boiler.  Therefore, the proposed project will not constitute reconstruction.  For these reasons, the proposed project will not result in the No. 4 Recovery Boiler being subject to the applicable requirements of NSPS Subpart BB.</w:t>
      </w:r>
    </w:p>
    <w:p w:rsidR="006A48E0" w:rsidRPr="00BF67F7" w:rsidRDefault="006A48E0" w:rsidP="006A48E0">
      <w:pPr>
        <w:widowControl w:val="0"/>
        <w:spacing w:after="120"/>
        <w:rPr>
          <w:sz w:val="22"/>
          <w:szCs w:val="22"/>
          <w:u w:val="single"/>
        </w:rPr>
      </w:pPr>
      <w:r w:rsidRPr="00BF67F7">
        <w:rPr>
          <w:sz w:val="22"/>
          <w:szCs w:val="22"/>
          <w:u w:val="single"/>
        </w:rPr>
        <w:t>NSPS Subpart Db of 40 CFR 60</w:t>
      </w:r>
    </w:p>
    <w:p w:rsidR="006A48E0" w:rsidRDefault="006A48E0" w:rsidP="006A48E0">
      <w:pPr>
        <w:widowControl w:val="0"/>
        <w:spacing w:after="120"/>
        <w:rPr>
          <w:sz w:val="22"/>
          <w:szCs w:val="22"/>
        </w:rPr>
      </w:pPr>
      <w:r>
        <w:rPr>
          <w:sz w:val="22"/>
          <w:szCs w:val="22"/>
        </w:rPr>
        <w:t>NSPS Subpart Db</w:t>
      </w:r>
      <w:r w:rsidRPr="00831806">
        <w:rPr>
          <w:sz w:val="22"/>
          <w:szCs w:val="22"/>
        </w:rPr>
        <w:t xml:space="preserve"> </w:t>
      </w:r>
      <w:r>
        <w:rPr>
          <w:sz w:val="22"/>
          <w:szCs w:val="22"/>
        </w:rPr>
        <w:t xml:space="preserve">regulates emission of </w:t>
      </w:r>
      <w:r w:rsidRPr="00461674">
        <w:rPr>
          <w:sz w:val="22"/>
          <w:szCs w:val="22"/>
        </w:rPr>
        <w:t>NO</w:t>
      </w:r>
      <w:r w:rsidRPr="00461674">
        <w:rPr>
          <w:sz w:val="22"/>
          <w:szCs w:val="22"/>
          <w:vertAlign w:val="subscript"/>
        </w:rPr>
        <w:t>X</w:t>
      </w:r>
      <w:r w:rsidRPr="00461674">
        <w:rPr>
          <w:sz w:val="22"/>
          <w:szCs w:val="22"/>
        </w:rPr>
        <w:t>, SO</w:t>
      </w:r>
      <w:r w:rsidRPr="00461674">
        <w:rPr>
          <w:sz w:val="22"/>
          <w:szCs w:val="22"/>
          <w:vertAlign w:val="subscript"/>
        </w:rPr>
        <w:t>2</w:t>
      </w:r>
      <w:r w:rsidRPr="00461674">
        <w:rPr>
          <w:sz w:val="22"/>
          <w:szCs w:val="22"/>
        </w:rPr>
        <w:t xml:space="preserve"> and PM.  The addition of the natural gas burners does represent a physical change in the No. 4 Recovery Boiler.  However,</w:t>
      </w:r>
      <w:r>
        <w:rPr>
          <w:sz w:val="22"/>
          <w:szCs w:val="22"/>
        </w:rPr>
        <w:t xml:space="preserve"> according to the applicant,</w:t>
      </w:r>
      <w:r w:rsidRPr="00461674">
        <w:rPr>
          <w:sz w:val="22"/>
          <w:szCs w:val="22"/>
        </w:rPr>
        <w:t xml:space="preserve"> the change will not cause an increase in emissions of NO</w:t>
      </w:r>
      <w:r w:rsidRPr="00461674">
        <w:rPr>
          <w:sz w:val="22"/>
          <w:szCs w:val="22"/>
          <w:vertAlign w:val="subscript"/>
        </w:rPr>
        <w:t>X</w:t>
      </w:r>
      <w:r w:rsidRPr="00461674">
        <w:rPr>
          <w:sz w:val="22"/>
          <w:szCs w:val="22"/>
        </w:rPr>
        <w:t>, SO</w:t>
      </w:r>
      <w:r w:rsidRPr="00461674">
        <w:rPr>
          <w:sz w:val="22"/>
          <w:szCs w:val="22"/>
          <w:vertAlign w:val="subscript"/>
        </w:rPr>
        <w:t>2</w:t>
      </w:r>
      <w:r w:rsidRPr="00461674">
        <w:rPr>
          <w:sz w:val="22"/>
          <w:szCs w:val="22"/>
        </w:rPr>
        <w:t xml:space="preserve"> and PM on a maximum hourly basis</w:t>
      </w:r>
      <w:r>
        <w:rPr>
          <w:sz w:val="22"/>
          <w:szCs w:val="22"/>
        </w:rPr>
        <w:t>.  Therefore, the proposed project will not be considered a modification to the No. 4 Recovery Boiler.  Additionally, the cost of the proposed component replacements to the No. 4 Recovery Boiler will be minimal, less than 50% of the cost of replacing the recovery boiler.  Therefore, the proposed project will not constitute reconstruction.  For these reasons, the proposed project will not result in the No. 4 Recovery Boiler being subject to the applicable requirements of NSPS Subpart Db.</w:t>
      </w:r>
    </w:p>
    <w:p w:rsidR="006A48E0" w:rsidRPr="00A60C1B" w:rsidRDefault="006A48E0" w:rsidP="006A48E0">
      <w:pPr>
        <w:widowControl w:val="0"/>
        <w:spacing w:after="120"/>
        <w:rPr>
          <w:b/>
          <w:sz w:val="22"/>
          <w:szCs w:val="22"/>
        </w:rPr>
      </w:pPr>
      <w:r w:rsidRPr="00A60C1B">
        <w:rPr>
          <w:b/>
          <w:sz w:val="22"/>
          <w:szCs w:val="22"/>
        </w:rPr>
        <w:t>NESHAP Provisions</w:t>
      </w:r>
    </w:p>
    <w:p w:rsidR="006A48E0" w:rsidRDefault="006A48E0" w:rsidP="006A48E0">
      <w:pPr>
        <w:widowControl w:val="0"/>
        <w:spacing w:after="120"/>
        <w:rPr>
          <w:sz w:val="22"/>
          <w:szCs w:val="22"/>
        </w:rPr>
      </w:pPr>
      <w:r w:rsidRPr="00A60C1B">
        <w:rPr>
          <w:sz w:val="22"/>
          <w:szCs w:val="22"/>
        </w:rPr>
        <w:t xml:space="preserve">The existing </w:t>
      </w:r>
      <w:r>
        <w:rPr>
          <w:sz w:val="22"/>
          <w:szCs w:val="22"/>
        </w:rPr>
        <w:t>No. 4 Recovery Boiler</w:t>
      </w:r>
      <w:r w:rsidRPr="00A60C1B">
        <w:rPr>
          <w:sz w:val="22"/>
          <w:szCs w:val="22"/>
        </w:rPr>
        <w:t xml:space="preserve"> is subject to the following applicable NESHAP provisions:  Subparts A (General Provisions) and </w:t>
      </w:r>
      <w:r>
        <w:rPr>
          <w:sz w:val="22"/>
          <w:szCs w:val="22"/>
        </w:rPr>
        <w:t>MM</w:t>
      </w:r>
      <w:r w:rsidRPr="00A60C1B">
        <w:rPr>
          <w:sz w:val="22"/>
          <w:szCs w:val="22"/>
        </w:rPr>
        <w:t xml:space="preserve"> (National Emission Standards for Hazardous Air Pollutants for </w:t>
      </w:r>
      <w:r>
        <w:rPr>
          <w:sz w:val="22"/>
          <w:szCs w:val="22"/>
        </w:rPr>
        <w:t xml:space="preserve">Chemical Recovery Combustion Sources at Kraft, Soda, Sulfite, and Stand-Alone </w:t>
      </w:r>
      <w:proofErr w:type="spellStart"/>
      <w:r>
        <w:rPr>
          <w:sz w:val="22"/>
          <w:szCs w:val="22"/>
        </w:rPr>
        <w:t>Semichemical</w:t>
      </w:r>
      <w:proofErr w:type="spellEnd"/>
      <w:r>
        <w:rPr>
          <w:sz w:val="22"/>
          <w:szCs w:val="22"/>
        </w:rPr>
        <w:t xml:space="preserve"> Pulp Mills</w:t>
      </w:r>
      <w:r w:rsidRPr="00A60C1B">
        <w:rPr>
          <w:sz w:val="22"/>
          <w:szCs w:val="22"/>
        </w:rPr>
        <w:t>) in 40 CFR 63.</w:t>
      </w:r>
      <w:r>
        <w:rPr>
          <w:sz w:val="22"/>
          <w:szCs w:val="22"/>
        </w:rPr>
        <w:t xml:space="preserve">  The existing facility has met the applicable requirements of these subparts.  </w:t>
      </w:r>
    </w:p>
    <w:p w:rsidR="00193F10" w:rsidRPr="001A4EBB" w:rsidRDefault="00193F10" w:rsidP="001A4EBB">
      <w:pPr>
        <w:spacing w:before="240" w:after="120"/>
        <w:rPr>
          <w:b/>
          <w:bCs/>
          <w:sz w:val="22"/>
          <w:szCs w:val="22"/>
        </w:rPr>
      </w:pPr>
      <w:r w:rsidRPr="001A4EBB">
        <w:rPr>
          <w:b/>
          <w:bCs/>
          <w:sz w:val="22"/>
          <w:szCs w:val="22"/>
        </w:rPr>
        <w:t>Project Description</w:t>
      </w:r>
    </w:p>
    <w:p w:rsidR="00193F10" w:rsidRDefault="0040333E" w:rsidP="004F4433">
      <w:pPr>
        <w:pStyle w:val="BodyText2"/>
        <w:numPr>
          <w:ilvl w:val="0"/>
          <w:numId w:val="0"/>
        </w:numPr>
        <w:jc w:val="left"/>
        <w:rPr>
          <w:szCs w:val="22"/>
        </w:rPr>
      </w:pPr>
      <w:r>
        <w:rPr>
          <w:szCs w:val="22"/>
        </w:rPr>
        <w:t>The applicant, Georgia-Pacific, is requesting to install new burners and associated equipment that will allow the No. 4 Recovery Boiler</w:t>
      </w:r>
      <w:r w:rsidR="0080218D">
        <w:rPr>
          <w:szCs w:val="22"/>
        </w:rPr>
        <w:t>, which is emission unit 018</w:t>
      </w:r>
      <w:r>
        <w:rPr>
          <w:szCs w:val="22"/>
        </w:rPr>
        <w:t xml:space="preserve"> (EU 018) </w:t>
      </w:r>
      <w:r w:rsidR="0080218D">
        <w:rPr>
          <w:szCs w:val="22"/>
        </w:rPr>
        <w:t xml:space="preserve">at the facility, </w:t>
      </w:r>
      <w:r>
        <w:rPr>
          <w:szCs w:val="22"/>
        </w:rPr>
        <w:t xml:space="preserve">to burn natural gas instead of fuel oil as a supplemental fuel. </w:t>
      </w:r>
      <w:r w:rsidR="005E3506">
        <w:rPr>
          <w:szCs w:val="22"/>
        </w:rPr>
        <w:t xml:space="preserve"> </w:t>
      </w:r>
      <w:r w:rsidR="004123A6">
        <w:rPr>
          <w:szCs w:val="22"/>
        </w:rPr>
        <w:t>T</w:t>
      </w:r>
      <w:r w:rsidR="005E3506">
        <w:rPr>
          <w:szCs w:val="22"/>
        </w:rPr>
        <w:t xml:space="preserve">he </w:t>
      </w:r>
      <w:r w:rsidR="004123A6">
        <w:rPr>
          <w:szCs w:val="22"/>
        </w:rPr>
        <w:t>applicant is proposing the following changes to the</w:t>
      </w:r>
      <w:r w:rsidR="00784AD4">
        <w:rPr>
          <w:szCs w:val="22"/>
        </w:rPr>
        <w:t xml:space="preserve"> boiler</w:t>
      </w:r>
      <w:r w:rsidR="002B74D8">
        <w:rPr>
          <w:szCs w:val="22"/>
        </w:rPr>
        <w:t>:</w:t>
      </w:r>
    </w:p>
    <w:p w:rsidR="002B74D8" w:rsidRDefault="002B74D8" w:rsidP="00BA1E83">
      <w:pPr>
        <w:pStyle w:val="BodyText2"/>
        <w:numPr>
          <w:ilvl w:val="0"/>
          <w:numId w:val="6"/>
        </w:numPr>
        <w:ind w:left="360"/>
        <w:jc w:val="left"/>
      </w:pPr>
      <w:r>
        <w:t>Replace the existing residual oil load burners with burners designed to burn natural gas alone.</w:t>
      </w:r>
    </w:p>
    <w:p w:rsidR="002B74D8" w:rsidRPr="002B74D8" w:rsidRDefault="002B74D8" w:rsidP="00BA1E83">
      <w:pPr>
        <w:pStyle w:val="BodyText2"/>
        <w:numPr>
          <w:ilvl w:val="0"/>
          <w:numId w:val="6"/>
        </w:numPr>
        <w:ind w:left="360"/>
        <w:jc w:val="left"/>
      </w:pPr>
      <w:r w:rsidRPr="002B74D8">
        <w:t>Replace the existing residual oil starter burners with natural gas starter burners</w:t>
      </w:r>
      <w:r>
        <w:t>.</w:t>
      </w:r>
    </w:p>
    <w:p w:rsidR="002B74D8" w:rsidRPr="002B74D8" w:rsidRDefault="002B74D8" w:rsidP="00BA1E83">
      <w:pPr>
        <w:pStyle w:val="BodyText2"/>
        <w:numPr>
          <w:ilvl w:val="0"/>
          <w:numId w:val="6"/>
        </w:numPr>
        <w:ind w:left="360"/>
        <w:jc w:val="left"/>
      </w:pPr>
      <w:r w:rsidRPr="002B74D8">
        <w:t>Replace the flame scanners on all burners with class 1 igniters with flame rods</w:t>
      </w:r>
      <w:r>
        <w:t>.</w:t>
      </w:r>
    </w:p>
    <w:p w:rsidR="002B74D8" w:rsidRPr="002B74D8" w:rsidRDefault="002B74D8" w:rsidP="00BA1E83">
      <w:pPr>
        <w:pStyle w:val="BodyText2"/>
        <w:numPr>
          <w:ilvl w:val="0"/>
          <w:numId w:val="6"/>
        </w:numPr>
        <w:ind w:left="360"/>
        <w:jc w:val="left"/>
      </w:pPr>
      <w:r w:rsidRPr="002B74D8">
        <w:t xml:space="preserve">Install new </w:t>
      </w:r>
      <w:r w:rsidR="00F417C5">
        <w:t xml:space="preserve">Programmable Logic </w:t>
      </w:r>
      <w:r w:rsidR="0080218D">
        <w:t>s</w:t>
      </w:r>
      <w:r w:rsidR="00F417C5">
        <w:t>olver</w:t>
      </w:r>
      <w:r w:rsidR="0080218D">
        <w:t xml:space="preserve"> (</w:t>
      </w:r>
      <w:r w:rsidRPr="002B74D8">
        <w:t>PLC</w:t>
      </w:r>
      <w:r w:rsidR="0080218D">
        <w:t>)</w:t>
      </w:r>
      <w:r w:rsidRPr="002B74D8">
        <w:t>-based burner management system controls</w:t>
      </w:r>
      <w:r>
        <w:t>.</w:t>
      </w:r>
    </w:p>
    <w:p w:rsidR="002B74D8" w:rsidRDefault="002B74D8" w:rsidP="00BA1E83">
      <w:pPr>
        <w:pStyle w:val="BodyText2"/>
        <w:numPr>
          <w:ilvl w:val="0"/>
          <w:numId w:val="6"/>
        </w:numPr>
        <w:ind w:left="360"/>
        <w:jc w:val="left"/>
      </w:pPr>
      <w:r w:rsidRPr="002B74D8">
        <w:t>Install fuel trains, piping and hardware to support the addition of natural gas as a permitted fuel</w:t>
      </w:r>
      <w:r>
        <w:t>.</w:t>
      </w:r>
    </w:p>
    <w:p w:rsidR="00784AD4" w:rsidRDefault="00011EFF" w:rsidP="004F4433">
      <w:pPr>
        <w:pStyle w:val="BodyText2"/>
        <w:numPr>
          <w:ilvl w:val="0"/>
          <w:numId w:val="0"/>
        </w:numPr>
        <w:jc w:val="left"/>
      </w:pPr>
      <w:r>
        <w:t xml:space="preserve">According to the applicant, </w:t>
      </w:r>
      <w:r w:rsidR="007463C2">
        <w:t xml:space="preserve">the proposed project may result in an increase in the utilization </w:t>
      </w:r>
      <w:r w:rsidR="00AD6013">
        <w:t xml:space="preserve">of the </w:t>
      </w:r>
      <w:r w:rsidR="00C04A09">
        <w:t xml:space="preserve">No. 4 Recovery Boiler </w:t>
      </w:r>
      <w:r w:rsidR="00AD6013">
        <w:t>due to the</w:t>
      </w:r>
      <w:r w:rsidR="007463C2">
        <w:t xml:space="preserve"> difference in efficiencies </w:t>
      </w:r>
      <w:r w:rsidR="00EE16E7">
        <w:t xml:space="preserve">of burning natural gas </w:t>
      </w:r>
      <w:r w:rsidR="0080218D">
        <w:t>in</w:t>
      </w:r>
      <w:r w:rsidR="007463C2">
        <w:t xml:space="preserve"> the No. 4 Recovery Boiler </w:t>
      </w:r>
      <w:r w:rsidR="0080218D">
        <w:t>versus</w:t>
      </w:r>
      <w:r w:rsidR="007463C2">
        <w:t xml:space="preserve"> the No. 7 Package Boiler.  The </w:t>
      </w:r>
      <w:r w:rsidR="00F52145">
        <w:t xml:space="preserve">conversion to natural gas is not intended to increase the </w:t>
      </w:r>
      <w:r w:rsidR="007463C2">
        <w:t xml:space="preserve">overall annual steam production </w:t>
      </w:r>
      <w:r w:rsidR="00F52145">
        <w:t xml:space="preserve">rate or emissions </w:t>
      </w:r>
      <w:r w:rsidR="007463C2">
        <w:t>at the mill.</w:t>
      </w:r>
      <w:r w:rsidR="00F52145">
        <w:t xml:space="preserve">  The proposed project is scheduled to begin in July 2013 and </w:t>
      </w:r>
      <w:r w:rsidR="00F64E4E">
        <w:t xml:space="preserve">continue through the annual outage in October 2013.  </w:t>
      </w:r>
    </w:p>
    <w:p w:rsidR="00193F10" w:rsidRDefault="00193F10" w:rsidP="001A4EBB">
      <w:pPr>
        <w:widowControl w:val="0"/>
        <w:spacing w:before="240" w:after="120"/>
        <w:rPr>
          <w:b/>
          <w:caps/>
          <w:sz w:val="22"/>
        </w:rPr>
      </w:pPr>
      <w:r>
        <w:rPr>
          <w:b/>
          <w:caps/>
          <w:sz w:val="22"/>
        </w:rPr>
        <w:t xml:space="preserve">2.  </w:t>
      </w:r>
      <w:r w:rsidR="00D51D78">
        <w:rPr>
          <w:b/>
          <w:caps/>
          <w:sz w:val="22"/>
        </w:rPr>
        <w:t>PSD Applicability</w:t>
      </w:r>
    </w:p>
    <w:p w:rsidR="00D51D78" w:rsidRPr="00193F10" w:rsidRDefault="00D51D78" w:rsidP="004D1D9F">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80218D" w:rsidRDefault="0080218D" w:rsidP="0080218D">
      <w:pPr>
        <w:widowControl w:val="0"/>
        <w:spacing w:after="120"/>
        <w:rPr>
          <w:rFonts w:eastAsia="Calibri"/>
          <w:sz w:val="22"/>
          <w:szCs w:val="22"/>
        </w:rPr>
      </w:pPr>
      <w:r w:rsidRPr="005C0768">
        <w:rPr>
          <w:rFonts w:eastAsia="Calibri"/>
          <w:sz w:val="22"/>
          <w:szCs w:val="22"/>
        </w:rPr>
        <w:t xml:space="preserve">The Department regulates major stationary sources in accordance with Florida’s PSD program pursuant to Rule 62-212.400, F.A.C.  PSD preconstruction review is required in areas that are currently in attainment with the state and federal </w:t>
      </w:r>
      <w:r>
        <w:rPr>
          <w:rFonts w:eastAsia="Calibri"/>
          <w:sz w:val="22"/>
          <w:szCs w:val="22"/>
        </w:rPr>
        <w:t>ambient air quality standards (</w:t>
      </w:r>
      <w:r w:rsidRPr="005C0768">
        <w:rPr>
          <w:rFonts w:eastAsia="Calibri"/>
          <w:sz w:val="22"/>
          <w:szCs w:val="22"/>
        </w:rPr>
        <w:t>AAQS</w:t>
      </w:r>
      <w:r>
        <w:rPr>
          <w:rFonts w:eastAsia="Calibri"/>
          <w:sz w:val="22"/>
          <w:szCs w:val="22"/>
        </w:rPr>
        <w:t>)</w:t>
      </w:r>
      <w:r w:rsidRPr="005C0768">
        <w:rPr>
          <w:rFonts w:eastAsia="Calibri"/>
          <w:sz w:val="22"/>
          <w:szCs w:val="22"/>
        </w:rPr>
        <w:t xml:space="preserve"> or areas designated as “unclassifiable” for these regulated pollutants.  </w:t>
      </w:r>
      <w:r>
        <w:rPr>
          <w:rFonts w:eastAsia="Calibri"/>
          <w:sz w:val="22"/>
          <w:szCs w:val="22"/>
        </w:rPr>
        <w:t xml:space="preserve">Commonly addressed </w:t>
      </w:r>
      <w:r w:rsidRPr="005C0768">
        <w:rPr>
          <w:rFonts w:eastAsia="Calibri"/>
          <w:sz w:val="22"/>
          <w:szCs w:val="22"/>
        </w:rPr>
        <w:t xml:space="preserve">PSD pollutants </w:t>
      </w:r>
      <w:r>
        <w:rPr>
          <w:rFonts w:eastAsia="Calibri"/>
          <w:sz w:val="22"/>
          <w:szCs w:val="22"/>
        </w:rPr>
        <w:t xml:space="preserve">for </w:t>
      </w:r>
      <w:r w:rsidRPr="00CE4ADB">
        <w:rPr>
          <w:rFonts w:eastAsia="Calibri"/>
          <w:sz w:val="22"/>
          <w:szCs w:val="22"/>
        </w:rPr>
        <w:t xml:space="preserve">Kraft pulp mills </w:t>
      </w:r>
      <w:r>
        <w:rPr>
          <w:rFonts w:eastAsia="Calibri"/>
          <w:sz w:val="22"/>
          <w:szCs w:val="22"/>
        </w:rPr>
        <w:t xml:space="preserve">such as the Palatka Mill </w:t>
      </w:r>
      <w:r w:rsidRPr="005C0768">
        <w:rPr>
          <w:rFonts w:eastAsia="Calibri"/>
          <w:sz w:val="22"/>
          <w:szCs w:val="22"/>
        </w:rPr>
        <w:t xml:space="preserve">include: </w:t>
      </w:r>
      <w:r>
        <w:rPr>
          <w:rFonts w:eastAsia="Calibri"/>
          <w:sz w:val="22"/>
          <w:szCs w:val="22"/>
        </w:rPr>
        <w:t>carbon monoxide (</w:t>
      </w:r>
      <w:r w:rsidRPr="005C0768">
        <w:rPr>
          <w:rFonts w:eastAsia="Calibri"/>
          <w:sz w:val="22"/>
          <w:szCs w:val="22"/>
        </w:rPr>
        <w:t>CO</w:t>
      </w:r>
      <w:r>
        <w:rPr>
          <w:rFonts w:eastAsia="Calibri"/>
          <w:sz w:val="22"/>
          <w:szCs w:val="22"/>
        </w:rPr>
        <w:t>), nitrogen oxide (</w:t>
      </w:r>
      <w:r w:rsidRPr="005C0768">
        <w:rPr>
          <w:rFonts w:eastAsia="Calibri"/>
          <w:sz w:val="22"/>
          <w:szCs w:val="22"/>
        </w:rPr>
        <w:t>NO</w:t>
      </w:r>
      <w:r w:rsidRPr="007B78BD">
        <w:rPr>
          <w:rFonts w:eastAsia="Calibri"/>
          <w:sz w:val="22"/>
          <w:szCs w:val="22"/>
          <w:vertAlign w:val="subscript"/>
        </w:rPr>
        <w:t>X</w:t>
      </w:r>
      <w:r w:rsidRPr="00143813">
        <w:rPr>
          <w:rFonts w:eastAsia="Calibri"/>
          <w:sz w:val="22"/>
          <w:szCs w:val="22"/>
        </w:rPr>
        <w:t>)</w:t>
      </w:r>
      <w:r>
        <w:rPr>
          <w:rFonts w:eastAsia="Calibri"/>
          <w:sz w:val="22"/>
          <w:szCs w:val="22"/>
        </w:rPr>
        <w:t>, PM,</w:t>
      </w:r>
      <w:r w:rsidRPr="005C0768">
        <w:rPr>
          <w:rFonts w:eastAsia="Calibri"/>
          <w:sz w:val="22"/>
          <w:szCs w:val="22"/>
        </w:rPr>
        <w:t xml:space="preserve"> </w:t>
      </w:r>
      <w:r>
        <w:rPr>
          <w:rFonts w:eastAsia="Calibri"/>
          <w:sz w:val="22"/>
          <w:szCs w:val="22"/>
        </w:rPr>
        <w:t>PM with a mean diameter of 10 microns or less (</w:t>
      </w:r>
      <w:r w:rsidRPr="005C0768">
        <w:rPr>
          <w:rFonts w:eastAsia="Calibri"/>
          <w:sz w:val="22"/>
          <w:szCs w:val="22"/>
        </w:rPr>
        <w:t>PM</w:t>
      </w:r>
      <w:r w:rsidRPr="00DB5285">
        <w:rPr>
          <w:rFonts w:eastAsia="Calibri"/>
          <w:sz w:val="22"/>
          <w:szCs w:val="22"/>
          <w:vertAlign w:val="subscript"/>
        </w:rPr>
        <w:t>10</w:t>
      </w:r>
      <w:r>
        <w:rPr>
          <w:rFonts w:eastAsia="Calibri"/>
          <w:sz w:val="22"/>
          <w:szCs w:val="22"/>
        </w:rPr>
        <w:t>),</w:t>
      </w:r>
      <w:r w:rsidRPr="005C0768">
        <w:rPr>
          <w:rFonts w:eastAsia="Calibri"/>
          <w:sz w:val="22"/>
          <w:szCs w:val="22"/>
        </w:rPr>
        <w:t xml:space="preserve"> </w:t>
      </w:r>
      <w:r>
        <w:rPr>
          <w:rFonts w:eastAsia="Calibri"/>
          <w:sz w:val="22"/>
          <w:szCs w:val="22"/>
        </w:rPr>
        <w:t>PM with a mean diameter of 2.5 microns or less (PM</w:t>
      </w:r>
      <w:r w:rsidRPr="00B81C9A">
        <w:rPr>
          <w:rFonts w:eastAsia="Calibri"/>
          <w:sz w:val="22"/>
          <w:szCs w:val="22"/>
          <w:vertAlign w:val="subscript"/>
        </w:rPr>
        <w:t>2.5</w:t>
      </w:r>
      <w:r>
        <w:rPr>
          <w:rFonts w:eastAsia="Calibri"/>
          <w:sz w:val="22"/>
          <w:szCs w:val="22"/>
        </w:rPr>
        <w:t>), sulfur dioxide (SO</w:t>
      </w:r>
      <w:r w:rsidRPr="00CC5837">
        <w:rPr>
          <w:rFonts w:eastAsia="Calibri"/>
          <w:sz w:val="22"/>
          <w:szCs w:val="22"/>
          <w:vertAlign w:val="subscript"/>
        </w:rPr>
        <w:t>2</w:t>
      </w:r>
      <w:r>
        <w:rPr>
          <w:rFonts w:eastAsia="Calibri"/>
          <w:sz w:val="22"/>
          <w:szCs w:val="22"/>
        </w:rPr>
        <w:t xml:space="preserve">), volatile organic compounds (VOC) and sulfuric acid mist (SAM).  </w:t>
      </w:r>
    </w:p>
    <w:p w:rsidR="0080218D" w:rsidRPr="004E4744" w:rsidRDefault="0080218D" w:rsidP="0080218D">
      <w:pPr>
        <w:widowControl w:val="0"/>
        <w:spacing w:after="120"/>
        <w:rPr>
          <w:rFonts w:eastAsia="Calibri"/>
          <w:sz w:val="22"/>
          <w:szCs w:val="22"/>
        </w:rPr>
      </w:pPr>
      <w:r>
        <w:rPr>
          <w:rFonts w:eastAsia="Calibri"/>
          <w:sz w:val="22"/>
          <w:szCs w:val="22"/>
        </w:rPr>
        <w:t>Additional PSD pollutants that are more common to certain other industries include:</w:t>
      </w:r>
      <w:r w:rsidRPr="005C0768">
        <w:rPr>
          <w:rFonts w:eastAsia="Calibri"/>
          <w:sz w:val="22"/>
          <w:szCs w:val="22"/>
        </w:rPr>
        <w:t xml:space="preserve"> </w:t>
      </w:r>
      <w:r>
        <w:rPr>
          <w:rFonts w:eastAsia="Calibri"/>
          <w:sz w:val="22"/>
          <w:szCs w:val="22"/>
        </w:rPr>
        <w:t>lead (Pb), mercury (Hg), hydrogen sulfide (</w:t>
      </w:r>
      <w:r w:rsidRPr="005C0768">
        <w:rPr>
          <w:rFonts w:eastAsia="Calibri"/>
          <w:sz w:val="22"/>
          <w:szCs w:val="22"/>
        </w:rPr>
        <w:t>H</w:t>
      </w:r>
      <w:r w:rsidRPr="007B78BD">
        <w:rPr>
          <w:rFonts w:eastAsia="Calibri"/>
          <w:sz w:val="22"/>
          <w:szCs w:val="22"/>
          <w:vertAlign w:val="subscript"/>
        </w:rPr>
        <w:t>2</w:t>
      </w:r>
      <w:r w:rsidRPr="005C0768">
        <w:rPr>
          <w:rFonts w:eastAsia="Calibri"/>
          <w:sz w:val="22"/>
          <w:szCs w:val="22"/>
        </w:rPr>
        <w:t>S</w:t>
      </w:r>
      <w:r>
        <w:rPr>
          <w:rFonts w:eastAsia="Calibri"/>
          <w:sz w:val="22"/>
          <w:szCs w:val="22"/>
        </w:rPr>
        <w:t xml:space="preserve">), </w:t>
      </w:r>
      <w:r w:rsidRPr="005C0768">
        <w:rPr>
          <w:rFonts w:eastAsia="Calibri"/>
          <w:sz w:val="22"/>
          <w:szCs w:val="22"/>
        </w:rPr>
        <w:t>TRS including H</w:t>
      </w:r>
      <w:r w:rsidRPr="007B78BD">
        <w:rPr>
          <w:rFonts w:eastAsia="Calibri"/>
          <w:sz w:val="22"/>
          <w:szCs w:val="22"/>
          <w:vertAlign w:val="subscript"/>
        </w:rPr>
        <w:t>2</w:t>
      </w:r>
      <w:r w:rsidRPr="005C0768">
        <w:rPr>
          <w:rFonts w:eastAsia="Calibri"/>
          <w:sz w:val="22"/>
          <w:szCs w:val="22"/>
        </w:rPr>
        <w:t>S</w:t>
      </w:r>
      <w:r>
        <w:rPr>
          <w:rFonts w:eastAsia="Calibri"/>
          <w:sz w:val="22"/>
          <w:szCs w:val="22"/>
        </w:rPr>
        <w:t>, reduced sulfur compounds (RSC) including H</w:t>
      </w:r>
      <w:r w:rsidRPr="00F81267">
        <w:rPr>
          <w:rFonts w:eastAsia="Calibri"/>
          <w:sz w:val="22"/>
          <w:szCs w:val="22"/>
          <w:vertAlign w:val="subscript"/>
        </w:rPr>
        <w:t>2</w:t>
      </w:r>
      <w:r>
        <w:rPr>
          <w:rFonts w:eastAsia="Calibri"/>
          <w:sz w:val="22"/>
          <w:szCs w:val="22"/>
        </w:rPr>
        <w:t>S, municipal waste combustor (</w:t>
      </w:r>
      <w:r w:rsidRPr="005C0768">
        <w:rPr>
          <w:rFonts w:eastAsia="Calibri"/>
          <w:sz w:val="22"/>
          <w:szCs w:val="22"/>
        </w:rPr>
        <w:t>MWC</w:t>
      </w:r>
      <w:r>
        <w:rPr>
          <w:rFonts w:eastAsia="Calibri"/>
          <w:sz w:val="22"/>
          <w:szCs w:val="22"/>
        </w:rPr>
        <w:t>)</w:t>
      </w:r>
      <w:r w:rsidRPr="005C0768">
        <w:rPr>
          <w:rFonts w:eastAsia="Calibri"/>
          <w:sz w:val="22"/>
          <w:szCs w:val="22"/>
        </w:rPr>
        <w:t xml:space="preserve"> organics measured as total tetra- through octa-chlorinated dibenzo-p-dioxins and dibenzofurans (</w:t>
      </w:r>
      <w:r>
        <w:rPr>
          <w:rFonts w:eastAsia="Calibri"/>
          <w:sz w:val="22"/>
          <w:szCs w:val="22"/>
        </w:rPr>
        <w:t xml:space="preserve">dioxin/furan), </w:t>
      </w:r>
      <w:r w:rsidRPr="005C0768">
        <w:rPr>
          <w:rFonts w:eastAsia="Calibri"/>
          <w:sz w:val="22"/>
          <w:szCs w:val="22"/>
        </w:rPr>
        <w:t xml:space="preserve">MWC metals measured as PM; MWC acid gases </w:t>
      </w:r>
      <w:r w:rsidRPr="004E4744">
        <w:rPr>
          <w:rFonts w:eastAsia="Calibri"/>
          <w:sz w:val="22"/>
          <w:szCs w:val="22"/>
        </w:rPr>
        <w:t>measured as SO</w:t>
      </w:r>
      <w:r w:rsidRPr="004E4744">
        <w:rPr>
          <w:rFonts w:eastAsia="Calibri"/>
          <w:sz w:val="22"/>
          <w:szCs w:val="22"/>
          <w:vertAlign w:val="subscript"/>
        </w:rPr>
        <w:t>2</w:t>
      </w:r>
      <w:r w:rsidRPr="004E4744">
        <w:rPr>
          <w:rFonts w:eastAsia="Calibri"/>
          <w:sz w:val="22"/>
          <w:szCs w:val="22"/>
        </w:rPr>
        <w:t xml:space="preserve"> and HCl, </w:t>
      </w:r>
      <w:r>
        <w:rPr>
          <w:rFonts w:eastAsia="Calibri"/>
          <w:sz w:val="22"/>
          <w:szCs w:val="22"/>
        </w:rPr>
        <w:t>and municipal solid waste (</w:t>
      </w:r>
      <w:r w:rsidRPr="004E4744">
        <w:rPr>
          <w:sz w:val="22"/>
          <w:szCs w:val="22"/>
        </w:rPr>
        <w:t>MSW</w:t>
      </w:r>
      <w:r>
        <w:rPr>
          <w:sz w:val="22"/>
          <w:szCs w:val="22"/>
        </w:rPr>
        <w:t>)</w:t>
      </w:r>
      <w:r w:rsidRPr="004E4744">
        <w:rPr>
          <w:sz w:val="22"/>
          <w:szCs w:val="22"/>
        </w:rPr>
        <w:t xml:space="preserve"> landfill emissions as non-</w:t>
      </w:r>
      <w:r>
        <w:rPr>
          <w:sz w:val="22"/>
          <w:szCs w:val="22"/>
        </w:rPr>
        <w:t>methane organic compounds (NMOC)</w:t>
      </w:r>
      <w:r w:rsidRPr="004E4744">
        <w:rPr>
          <w:rFonts w:eastAsia="Calibri"/>
          <w:sz w:val="22"/>
          <w:szCs w:val="22"/>
        </w:rPr>
        <w:t xml:space="preserve">.  </w:t>
      </w:r>
    </w:p>
    <w:p w:rsidR="0080218D" w:rsidRDefault="0080218D" w:rsidP="001A4EBB">
      <w:pPr>
        <w:pStyle w:val="Default"/>
        <w:spacing w:after="120"/>
        <w:rPr>
          <w:sz w:val="22"/>
          <w:szCs w:val="22"/>
        </w:rPr>
      </w:pPr>
      <w:r w:rsidRPr="005C0768">
        <w:rPr>
          <w:rFonts w:eastAsia="Calibri"/>
          <w:sz w:val="22"/>
          <w:szCs w:val="22"/>
        </w:rPr>
        <w:t>As defined in Rule 62-210.200(</w:t>
      </w:r>
      <w:r>
        <w:rPr>
          <w:rFonts w:eastAsia="Calibri"/>
          <w:sz w:val="22"/>
          <w:szCs w:val="22"/>
        </w:rPr>
        <w:t>Definitions)</w:t>
      </w:r>
      <w:r w:rsidRPr="005C0768">
        <w:rPr>
          <w:rFonts w:eastAsia="Calibri"/>
          <w:sz w:val="22"/>
          <w:szCs w:val="22"/>
        </w:rPr>
        <w:t xml:space="preserve">, F.A.C., </w:t>
      </w:r>
      <w:r>
        <w:rPr>
          <w:sz w:val="22"/>
          <w:szCs w:val="22"/>
        </w:rPr>
        <w:t>a stationary source is a “major stationary source” (major PSD source) if it emits or has the potential to emit (PTE):</w:t>
      </w:r>
    </w:p>
    <w:p w:rsidR="0080218D" w:rsidRPr="00D94522" w:rsidRDefault="0080218D" w:rsidP="001A4EBB">
      <w:pPr>
        <w:pStyle w:val="Default"/>
        <w:numPr>
          <w:ilvl w:val="0"/>
          <w:numId w:val="13"/>
        </w:numPr>
        <w:spacing w:after="120"/>
        <w:ind w:left="360"/>
        <w:rPr>
          <w:rFonts w:eastAsia="Calibri"/>
          <w:sz w:val="22"/>
          <w:szCs w:val="22"/>
        </w:rPr>
      </w:pPr>
      <w:r>
        <w:rPr>
          <w:sz w:val="22"/>
          <w:szCs w:val="22"/>
        </w:rPr>
        <w:t xml:space="preserve">250 tons per year (tons/year) or more of any PSD pollutant; </w:t>
      </w:r>
      <w:r w:rsidRPr="00AF28AC">
        <w:rPr>
          <w:sz w:val="22"/>
          <w:szCs w:val="22"/>
          <w:u w:val="single"/>
        </w:rPr>
        <w:t>or</w:t>
      </w:r>
      <w:r>
        <w:rPr>
          <w:sz w:val="22"/>
          <w:szCs w:val="22"/>
        </w:rPr>
        <w:t xml:space="preserve"> </w:t>
      </w:r>
    </w:p>
    <w:p w:rsidR="0080218D" w:rsidRPr="00A56796" w:rsidRDefault="0080218D" w:rsidP="001A4EBB">
      <w:pPr>
        <w:pStyle w:val="Default"/>
        <w:numPr>
          <w:ilvl w:val="0"/>
          <w:numId w:val="13"/>
        </w:numPr>
        <w:spacing w:after="120"/>
        <w:ind w:left="360"/>
        <w:rPr>
          <w:rFonts w:eastAsia="Calibri"/>
          <w:sz w:val="22"/>
          <w:szCs w:val="22"/>
        </w:rPr>
      </w:pPr>
      <w:r>
        <w:rPr>
          <w:sz w:val="22"/>
          <w:szCs w:val="22"/>
        </w:rPr>
        <w:t xml:space="preserve">100 tons/year or more of any PSD pollutant </w:t>
      </w:r>
      <w:r w:rsidRPr="00AF28AC">
        <w:rPr>
          <w:sz w:val="22"/>
          <w:szCs w:val="22"/>
          <w:u w:val="single"/>
        </w:rPr>
        <w:t>and</w:t>
      </w:r>
      <w:r>
        <w:rPr>
          <w:sz w:val="22"/>
          <w:szCs w:val="22"/>
        </w:rPr>
        <w:t xml:space="preserve"> the facility belongs to one of the 28 listed PSD major facility categories.</w:t>
      </w:r>
    </w:p>
    <w:p w:rsidR="0080218D" w:rsidRDefault="0080218D" w:rsidP="0080218D">
      <w:pPr>
        <w:widowControl w:val="0"/>
        <w:spacing w:after="120"/>
        <w:rPr>
          <w:rFonts w:eastAsia="Calibri"/>
          <w:sz w:val="22"/>
          <w:szCs w:val="22"/>
        </w:rPr>
      </w:pPr>
      <w:r w:rsidRPr="00B81C9A">
        <w:rPr>
          <w:rFonts w:eastAsia="Calibri"/>
          <w:sz w:val="22"/>
          <w:szCs w:val="22"/>
        </w:rPr>
        <w:t>The list given in the citation includes the category of “</w:t>
      </w:r>
      <w:r w:rsidRPr="00A56796">
        <w:rPr>
          <w:rFonts w:eastAsia="Calibri"/>
          <w:sz w:val="22"/>
          <w:szCs w:val="22"/>
        </w:rPr>
        <w:t>Kraft pulp mills</w:t>
      </w:r>
      <w:r w:rsidRPr="00B81C9A">
        <w:rPr>
          <w:rFonts w:eastAsia="Calibri"/>
          <w:sz w:val="22"/>
          <w:szCs w:val="22"/>
        </w:rPr>
        <w:t xml:space="preserve">”.  The given category applies to the </w:t>
      </w:r>
      <w:r>
        <w:rPr>
          <w:rFonts w:eastAsia="Calibri"/>
          <w:sz w:val="22"/>
          <w:szCs w:val="22"/>
        </w:rPr>
        <w:t>facility</w:t>
      </w:r>
      <w:r w:rsidRPr="00B81C9A">
        <w:rPr>
          <w:rFonts w:eastAsia="Calibri"/>
          <w:sz w:val="22"/>
          <w:szCs w:val="22"/>
        </w:rPr>
        <w:t xml:space="preserve"> before and after the proposed project.  The </w:t>
      </w:r>
      <w:r>
        <w:rPr>
          <w:rFonts w:eastAsia="Calibri"/>
          <w:sz w:val="22"/>
          <w:szCs w:val="22"/>
        </w:rPr>
        <w:t xml:space="preserve">Palatka Mill </w:t>
      </w:r>
      <w:r w:rsidRPr="00B81C9A">
        <w:rPr>
          <w:rFonts w:eastAsia="Calibri"/>
          <w:sz w:val="22"/>
          <w:szCs w:val="22"/>
        </w:rPr>
        <w:t xml:space="preserve">is a major stationary source based on actual emissions of and potential to emit </w:t>
      </w:r>
      <w:r>
        <w:rPr>
          <w:rFonts w:eastAsia="Calibri"/>
          <w:sz w:val="22"/>
          <w:szCs w:val="22"/>
        </w:rPr>
        <w:t>100</w:t>
      </w:r>
      <w:r w:rsidRPr="00B81C9A">
        <w:rPr>
          <w:rFonts w:eastAsia="Calibri"/>
          <w:sz w:val="22"/>
          <w:szCs w:val="22"/>
        </w:rPr>
        <w:t xml:space="preserve"> tons/year or more of several individual PSD pollutants.</w:t>
      </w:r>
      <w:r w:rsidRPr="005C0768">
        <w:rPr>
          <w:rFonts w:eastAsia="Calibri"/>
          <w:sz w:val="22"/>
          <w:szCs w:val="22"/>
        </w:rPr>
        <w:t xml:space="preserve">  </w:t>
      </w:r>
    </w:p>
    <w:p w:rsidR="0080218D" w:rsidRPr="005C0768" w:rsidRDefault="0080218D" w:rsidP="0080218D">
      <w:pPr>
        <w:widowControl w:val="0"/>
        <w:spacing w:after="120"/>
        <w:rPr>
          <w:rFonts w:eastAsia="Calibri"/>
          <w:sz w:val="22"/>
          <w:szCs w:val="22"/>
        </w:rPr>
      </w:pPr>
      <w:r w:rsidRPr="005C0768">
        <w:rPr>
          <w:rFonts w:eastAsia="Calibri"/>
          <w:sz w:val="22"/>
          <w:szCs w:val="22"/>
        </w:rPr>
        <w:t>For major stationary sources</w:t>
      </w:r>
      <w:r>
        <w:rPr>
          <w:rFonts w:eastAsia="Calibri"/>
          <w:sz w:val="22"/>
          <w:szCs w:val="22"/>
        </w:rPr>
        <w:t xml:space="preserve"> such as the Palatka Mill</w:t>
      </w:r>
      <w:r w:rsidRPr="005C0768">
        <w:rPr>
          <w:rFonts w:eastAsia="Calibri"/>
          <w:sz w:val="22"/>
          <w:szCs w:val="22"/>
        </w:rPr>
        <w:t xml:space="preserve">, PSD applicability </w:t>
      </w:r>
      <w:r>
        <w:rPr>
          <w:rFonts w:eastAsia="Calibri"/>
          <w:sz w:val="22"/>
          <w:szCs w:val="22"/>
        </w:rPr>
        <w:t xml:space="preserve">for modification projects </w:t>
      </w:r>
      <w:r w:rsidRPr="005C0768">
        <w:rPr>
          <w:rFonts w:eastAsia="Calibri"/>
          <w:sz w:val="22"/>
          <w:szCs w:val="22"/>
        </w:rPr>
        <w:t>is based on thresholds known as the significant emission rates (SER</w:t>
      </w:r>
      <w:r>
        <w:rPr>
          <w:rFonts w:eastAsia="Calibri"/>
          <w:sz w:val="22"/>
          <w:szCs w:val="22"/>
        </w:rPr>
        <w:t xml:space="preserve">) as defined in Rule 62-210.200(Definitions), </w:t>
      </w:r>
      <w:r w:rsidRPr="005C0768">
        <w:rPr>
          <w:rFonts w:eastAsia="Calibri"/>
          <w:sz w:val="22"/>
          <w:szCs w:val="22"/>
        </w:rPr>
        <w:t xml:space="preserve">F.A.C.  </w:t>
      </w:r>
      <w:r>
        <w:rPr>
          <w:rFonts w:eastAsia="Calibri"/>
          <w:sz w:val="22"/>
          <w:szCs w:val="22"/>
        </w:rPr>
        <w:t>Any “net e</w:t>
      </w:r>
      <w:r w:rsidRPr="005C0768">
        <w:rPr>
          <w:rFonts w:eastAsia="Calibri"/>
          <w:sz w:val="22"/>
          <w:szCs w:val="22"/>
        </w:rPr>
        <w:t xml:space="preserve">missions </w:t>
      </w:r>
      <w:r>
        <w:rPr>
          <w:rFonts w:eastAsia="Calibri"/>
          <w:sz w:val="22"/>
          <w:szCs w:val="22"/>
        </w:rPr>
        <w:t xml:space="preserve">increase” as defined in Rule 62-210.200(Definitions), F.A.C. </w:t>
      </w:r>
      <w:r w:rsidRPr="005C0768">
        <w:rPr>
          <w:rFonts w:eastAsia="Calibri"/>
          <w:sz w:val="22"/>
          <w:szCs w:val="22"/>
        </w:rPr>
        <w:t xml:space="preserve">of </w:t>
      </w:r>
      <w:r>
        <w:rPr>
          <w:rFonts w:eastAsia="Calibri"/>
          <w:sz w:val="22"/>
          <w:szCs w:val="22"/>
        </w:rPr>
        <w:t xml:space="preserve">a </w:t>
      </w:r>
      <w:r w:rsidRPr="005C0768">
        <w:rPr>
          <w:rFonts w:eastAsia="Calibri"/>
          <w:sz w:val="22"/>
          <w:szCs w:val="22"/>
        </w:rPr>
        <w:t>PSD pollutant from the project that equal</w:t>
      </w:r>
      <w:r>
        <w:rPr>
          <w:rFonts w:eastAsia="Calibri"/>
          <w:sz w:val="22"/>
          <w:szCs w:val="22"/>
        </w:rPr>
        <w:t>s</w:t>
      </w:r>
      <w:r w:rsidRPr="005C0768">
        <w:rPr>
          <w:rFonts w:eastAsia="Calibri"/>
          <w:sz w:val="22"/>
          <w:szCs w:val="22"/>
        </w:rPr>
        <w:t xml:space="preserve"> or exceed</w:t>
      </w:r>
      <w:r>
        <w:rPr>
          <w:rFonts w:eastAsia="Calibri"/>
          <w:sz w:val="22"/>
          <w:szCs w:val="22"/>
        </w:rPr>
        <w:t>s</w:t>
      </w:r>
      <w:r w:rsidRPr="005C0768">
        <w:rPr>
          <w:rFonts w:eastAsia="Calibri"/>
          <w:sz w:val="22"/>
          <w:szCs w:val="22"/>
        </w:rPr>
        <w:t xml:space="preserve"> the</w:t>
      </w:r>
      <w:r>
        <w:rPr>
          <w:rFonts w:eastAsia="Calibri"/>
          <w:sz w:val="22"/>
          <w:szCs w:val="22"/>
        </w:rPr>
        <w:t xml:space="preserve"> respective </w:t>
      </w:r>
      <w:r w:rsidRPr="005C0768">
        <w:rPr>
          <w:rFonts w:eastAsia="Calibri"/>
          <w:sz w:val="22"/>
          <w:szCs w:val="22"/>
        </w:rPr>
        <w:t>SER</w:t>
      </w:r>
      <w:r>
        <w:rPr>
          <w:rFonts w:eastAsia="Calibri"/>
          <w:sz w:val="22"/>
          <w:szCs w:val="22"/>
        </w:rPr>
        <w:t xml:space="preserve"> is </w:t>
      </w:r>
      <w:r w:rsidRPr="005C0768">
        <w:rPr>
          <w:rFonts w:eastAsia="Calibri"/>
          <w:sz w:val="22"/>
          <w:szCs w:val="22"/>
        </w:rPr>
        <w:t>considered “significant”.  SER also means any emissions rate or any net emissions increase of a PSD pollutant associated with a major stationary source or major modification which would construct within 10 k</w:t>
      </w:r>
      <w:r>
        <w:rPr>
          <w:rFonts w:eastAsia="Calibri"/>
          <w:sz w:val="22"/>
          <w:szCs w:val="22"/>
        </w:rPr>
        <w:t>m</w:t>
      </w:r>
      <w:r w:rsidRPr="005C0768">
        <w:rPr>
          <w:rFonts w:eastAsia="Calibri"/>
          <w:sz w:val="22"/>
          <w:szCs w:val="22"/>
        </w:rPr>
        <w:t xml:space="preserve"> of a Class I area and have an impact on such area equal to or greater than 1 gram per cubic meter, 24-hour average.  </w:t>
      </w:r>
    </w:p>
    <w:p w:rsidR="001A4EBB" w:rsidRDefault="0080218D" w:rsidP="001A4EBB">
      <w:pPr>
        <w:widowControl w:val="0"/>
        <w:spacing w:after="120"/>
        <w:rPr>
          <w:rFonts w:eastAsia="Calibri"/>
          <w:sz w:val="22"/>
          <w:szCs w:val="22"/>
        </w:rPr>
        <w:sectPr w:rsidR="001A4EBB" w:rsidSect="00784AD4">
          <w:pgSz w:w="12240" w:h="15840" w:code="1"/>
          <w:pgMar w:top="720" w:right="1080" w:bottom="720" w:left="1080" w:header="720" w:footer="386" w:gutter="0"/>
          <w:paperSrc w:first="15" w:other="15"/>
          <w:cols w:space="720"/>
        </w:sectPr>
      </w:pPr>
      <w:r w:rsidRPr="005F3991">
        <w:rPr>
          <w:rFonts w:eastAsia="Calibri"/>
          <w:sz w:val="22"/>
          <w:szCs w:val="22"/>
        </w:rPr>
        <w:t xml:space="preserve">Although a facility may be “major” (i.e. emits or has the potential to emit 100 or 250 </w:t>
      </w:r>
      <w:r w:rsidR="00E03CBB">
        <w:rPr>
          <w:rFonts w:eastAsia="Calibri"/>
          <w:sz w:val="22"/>
          <w:szCs w:val="22"/>
        </w:rPr>
        <w:t>tons/</w:t>
      </w:r>
      <w:r>
        <w:rPr>
          <w:rFonts w:eastAsia="Calibri"/>
          <w:sz w:val="22"/>
          <w:szCs w:val="22"/>
        </w:rPr>
        <w:t>year (TP</w:t>
      </w:r>
      <w:r w:rsidRPr="005F3991">
        <w:rPr>
          <w:rFonts w:eastAsia="Calibri"/>
          <w:sz w:val="22"/>
          <w:szCs w:val="22"/>
        </w:rPr>
        <w:t>Y</w:t>
      </w:r>
      <w:r>
        <w:rPr>
          <w:rFonts w:eastAsia="Calibri"/>
          <w:sz w:val="22"/>
          <w:szCs w:val="22"/>
        </w:rPr>
        <w:t>)</w:t>
      </w:r>
      <w:r w:rsidRPr="005F3991">
        <w:rPr>
          <w:rFonts w:eastAsia="Calibri"/>
          <w:sz w:val="22"/>
          <w:szCs w:val="22"/>
        </w:rPr>
        <w:t xml:space="preserve"> as applicable) for only one PSD pollutant, a project must include</w:t>
      </w:r>
      <w:r w:rsidR="00744B01" w:rsidRPr="00744B01">
        <w:rPr>
          <w:sz w:val="22"/>
          <w:szCs w:val="22"/>
        </w:rPr>
        <w:t xml:space="preserve"> </w:t>
      </w:r>
      <w:r w:rsidR="00744B01" w:rsidRPr="00115E6A">
        <w:rPr>
          <w:sz w:val="22"/>
          <w:szCs w:val="22"/>
        </w:rPr>
        <w:t>Best Available Control Technolo</w:t>
      </w:r>
      <w:r w:rsidR="00744B01">
        <w:rPr>
          <w:sz w:val="22"/>
          <w:szCs w:val="22"/>
        </w:rPr>
        <w:t>gy</w:t>
      </w:r>
      <w:r w:rsidRPr="005F3991">
        <w:rPr>
          <w:rFonts w:eastAsia="Calibri"/>
          <w:sz w:val="22"/>
          <w:szCs w:val="22"/>
        </w:rPr>
        <w:t xml:space="preserve"> </w:t>
      </w:r>
      <w:r w:rsidR="00744B01">
        <w:rPr>
          <w:rFonts w:eastAsia="Calibri"/>
          <w:sz w:val="22"/>
          <w:szCs w:val="22"/>
        </w:rPr>
        <w:t>(</w:t>
      </w:r>
      <w:r w:rsidRPr="005F3991">
        <w:rPr>
          <w:rFonts w:eastAsia="Calibri"/>
          <w:sz w:val="22"/>
          <w:szCs w:val="22"/>
        </w:rPr>
        <w:t>BACT</w:t>
      </w:r>
      <w:r w:rsidR="00744B01">
        <w:rPr>
          <w:rFonts w:eastAsia="Calibri"/>
          <w:sz w:val="22"/>
          <w:szCs w:val="22"/>
        </w:rPr>
        <w:t>)</w:t>
      </w:r>
      <w:r w:rsidRPr="005F3991">
        <w:rPr>
          <w:rFonts w:eastAsia="Calibri"/>
          <w:sz w:val="22"/>
          <w:szCs w:val="22"/>
        </w:rPr>
        <w:t xml:space="preserve"> controls for any PSD pollutant that exceeds the corresponding significant emission rates given in</w:t>
      </w:r>
      <w:r>
        <w:rPr>
          <w:rFonts w:eastAsia="Calibri"/>
          <w:sz w:val="22"/>
          <w:szCs w:val="22"/>
        </w:rPr>
        <w:t xml:space="preserve"> the </w:t>
      </w:r>
      <w:r>
        <w:rPr>
          <w:rFonts w:eastAsia="Calibri"/>
          <w:sz w:val="22"/>
          <w:szCs w:val="22"/>
        </w:rPr>
        <w:fldChar w:fldCharType="begin"/>
      </w:r>
      <w:r>
        <w:rPr>
          <w:rFonts w:eastAsia="Calibri"/>
          <w:sz w:val="22"/>
          <w:szCs w:val="22"/>
        </w:rPr>
        <w:instrText xml:space="preserve"> REF _Ref344887586 \h </w:instrText>
      </w:r>
      <w:r>
        <w:rPr>
          <w:rFonts w:eastAsia="Calibri"/>
          <w:sz w:val="22"/>
          <w:szCs w:val="22"/>
        </w:rPr>
      </w:r>
      <w:r>
        <w:rPr>
          <w:rFonts w:eastAsia="Calibri"/>
          <w:sz w:val="22"/>
          <w:szCs w:val="22"/>
        </w:rPr>
        <w:fldChar w:fldCharType="separate"/>
      </w:r>
      <w:r>
        <w:t xml:space="preserve">Table </w:t>
      </w:r>
      <w:r>
        <w:rPr>
          <w:noProof/>
        </w:rPr>
        <w:t>1</w:t>
      </w:r>
      <w:r>
        <w:rPr>
          <w:rFonts w:eastAsia="Calibri"/>
          <w:sz w:val="22"/>
          <w:szCs w:val="22"/>
        </w:rPr>
        <w:fldChar w:fldCharType="end"/>
      </w:r>
      <w:r>
        <w:rPr>
          <w:rFonts w:eastAsia="Calibri"/>
          <w:sz w:val="22"/>
          <w:szCs w:val="22"/>
        </w:rPr>
        <w:t xml:space="preserve"> below</w:t>
      </w:r>
      <w:r w:rsidRPr="005F3991">
        <w:rPr>
          <w:rFonts w:eastAsia="Calibri"/>
          <w:sz w:val="22"/>
          <w:szCs w:val="22"/>
        </w:rPr>
        <w:t>.</w:t>
      </w:r>
      <w:bookmarkStart w:id="0" w:name="_Ref344887586"/>
    </w:p>
    <w:p w:rsidR="0080218D" w:rsidRPr="00421ECE" w:rsidRDefault="0080218D" w:rsidP="00421ECE">
      <w:pPr>
        <w:widowControl w:val="0"/>
        <w:spacing w:after="120"/>
        <w:rPr>
          <w:caps/>
          <w:color w:val="000000"/>
          <w:sz w:val="22"/>
          <w:szCs w:val="22"/>
        </w:rPr>
      </w:pPr>
      <w:proofErr w:type="spellStart"/>
      <w:proofErr w:type="gramStart"/>
      <w:r w:rsidRPr="00421ECE">
        <w:rPr>
          <w:caps/>
          <w:sz w:val="22"/>
          <w:szCs w:val="22"/>
        </w:rPr>
        <w:t>T</w:t>
      </w:r>
      <w:r w:rsidR="00421ECE">
        <w:rPr>
          <w:sz w:val="22"/>
          <w:szCs w:val="22"/>
        </w:rPr>
        <w:t>able</w:t>
      </w:r>
      <w:proofErr w:type="spellEnd"/>
      <w:r w:rsidRPr="00421ECE">
        <w:rPr>
          <w:sz w:val="22"/>
          <w:szCs w:val="22"/>
        </w:rPr>
        <w:t xml:space="preserve"> </w:t>
      </w:r>
      <w:r w:rsidRPr="00421ECE">
        <w:rPr>
          <w:sz w:val="22"/>
          <w:szCs w:val="22"/>
        </w:rPr>
        <w:fldChar w:fldCharType="begin"/>
      </w:r>
      <w:r w:rsidRPr="00421ECE">
        <w:rPr>
          <w:sz w:val="22"/>
          <w:szCs w:val="22"/>
        </w:rPr>
        <w:instrText xml:space="preserve"> SEQ Table \* ARABIC </w:instrText>
      </w:r>
      <w:r w:rsidRPr="00421ECE">
        <w:rPr>
          <w:sz w:val="22"/>
          <w:szCs w:val="22"/>
        </w:rPr>
        <w:fldChar w:fldCharType="separate"/>
      </w:r>
      <w:r w:rsidRPr="00421ECE">
        <w:rPr>
          <w:noProof/>
          <w:sz w:val="22"/>
          <w:szCs w:val="22"/>
        </w:rPr>
        <w:t>1</w:t>
      </w:r>
      <w:r w:rsidRPr="00421ECE">
        <w:rPr>
          <w:sz w:val="22"/>
          <w:szCs w:val="22"/>
        </w:rPr>
        <w:fldChar w:fldCharType="end"/>
      </w:r>
      <w:bookmarkEnd w:id="0"/>
      <w:r w:rsidRPr="00421ECE">
        <w:rPr>
          <w:sz w:val="22"/>
          <w:szCs w:val="22"/>
        </w:rPr>
        <w:t xml:space="preserve"> - </w:t>
      </w:r>
      <w:r w:rsidR="00421ECE">
        <w:rPr>
          <w:caps/>
          <w:color w:val="000000"/>
          <w:sz w:val="22"/>
          <w:szCs w:val="22"/>
        </w:rPr>
        <w:t>List of SER by PSD-Pollutant</w:t>
      </w:r>
      <w:r w:rsidRPr="00421ECE">
        <w:rPr>
          <w:caps/>
          <w:color w:val="000000"/>
          <w:sz w:val="22"/>
          <w:szCs w:val="22"/>
        </w:rPr>
        <w:t>.</w:t>
      </w:r>
      <w:proofErr w:type="gramEnd"/>
      <w:r w:rsidRPr="00421ECE">
        <w:rPr>
          <w:caps/>
          <w:color w:val="000000"/>
          <w:sz w:val="22"/>
          <w:szCs w:val="22"/>
        </w:rPr>
        <w:t xml:space="preserve"> </w:t>
      </w:r>
      <w:r w:rsidRPr="00421ECE">
        <w:rPr>
          <w:caps/>
          <w:color w:val="000000"/>
          <w:sz w:val="22"/>
          <w:szCs w:val="22"/>
          <w:vertAlign w:val="superscript"/>
        </w:rPr>
        <w:t>1, 3</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280"/>
        <w:gridCol w:w="2640"/>
        <w:gridCol w:w="2160"/>
        <w:gridCol w:w="2280"/>
      </w:tblGrid>
      <w:tr w:rsidR="0080218D" w:rsidRPr="005C0768" w:rsidTr="0080218D">
        <w:trPr>
          <w:trHeight w:val="290"/>
          <w:tblHeader/>
        </w:trPr>
        <w:tc>
          <w:tcPr>
            <w:tcW w:w="2280" w:type="dxa"/>
            <w:tcBorders>
              <w:top w:val="single" w:sz="12" w:space="0" w:color="auto"/>
              <w:left w:val="single" w:sz="12" w:space="0" w:color="auto"/>
              <w:bottom w:val="single" w:sz="12" w:space="0" w:color="auto"/>
              <w:right w:val="single" w:sz="12" w:space="0" w:color="auto"/>
            </w:tcBorders>
            <w:shd w:val="clear" w:color="auto" w:fill="C6D9F1"/>
            <w:vAlign w:val="center"/>
            <w:hideMark/>
          </w:tcPr>
          <w:p w:rsidR="0080218D" w:rsidRPr="00ED3873" w:rsidRDefault="0080218D" w:rsidP="0080218D">
            <w:pPr>
              <w:autoSpaceDE w:val="0"/>
              <w:autoSpaceDN w:val="0"/>
              <w:adjustRightInd w:val="0"/>
              <w:spacing w:before="20" w:after="20"/>
              <w:jc w:val="center"/>
              <w:rPr>
                <w:b/>
                <w:color w:val="000000"/>
              </w:rPr>
            </w:pPr>
            <w:r w:rsidRPr="00ED3873">
              <w:rPr>
                <w:b/>
                <w:color w:val="000000"/>
              </w:rPr>
              <w:t>Pollutant</w:t>
            </w:r>
          </w:p>
        </w:tc>
        <w:tc>
          <w:tcPr>
            <w:tcW w:w="2640" w:type="dxa"/>
            <w:tcBorders>
              <w:top w:val="single" w:sz="12" w:space="0" w:color="auto"/>
              <w:left w:val="single" w:sz="12" w:space="0" w:color="auto"/>
              <w:bottom w:val="single" w:sz="12" w:space="0" w:color="auto"/>
              <w:right w:val="single" w:sz="12" w:space="0" w:color="auto"/>
            </w:tcBorders>
            <w:shd w:val="clear" w:color="auto" w:fill="C6D9F1"/>
            <w:vAlign w:val="center"/>
            <w:hideMark/>
          </w:tcPr>
          <w:p w:rsidR="0080218D" w:rsidRPr="00ED3873" w:rsidRDefault="0080218D" w:rsidP="0080218D">
            <w:pPr>
              <w:autoSpaceDE w:val="0"/>
              <w:autoSpaceDN w:val="0"/>
              <w:adjustRightInd w:val="0"/>
              <w:spacing w:before="20" w:after="20"/>
              <w:jc w:val="center"/>
              <w:rPr>
                <w:b/>
                <w:color w:val="000000"/>
              </w:rPr>
            </w:pPr>
            <w:r w:rsidRPr="00ED3873">
              <w:rPr>
                <w:b/>
                <w:color w:val="000000"/>
              </w:rPr>
              <w:t>SER (TPY)</w:t>
            </w:r>
          </w:p>
        </w:tc>
        <w:tc>
          <w:tcPr>
            <w:tcW w:w="2160" w:type="dxa"/>
            <w:tcBorders>
              <w:top w:val="single" w:sz="12" w:space="0" w:color="auto"/>
              <w:left w:val="single" w:sz="12" w:space="0" w:color="auto"/>
              <w:bottom w:val="single" w:sz="12" w:space="0" w:color="auto"/>
              <w:right w:val="single" w:sz="12" w:space="0" w:color="auto"/>
            </w:tcBorders>
            <w:shd w:val="clear" w:color="auto" w:fill="C6D9F1"/>
            <w:vAlign w:val="center"/>
            <w:hideMark/>
          </w:tcPr>
          <w:p w:rsidR="0080218D" w:rsidRPr="00ED3873" w:rsidRDefault="0080218D" w:rsidP="0080218D">
            <w:pPr>
              <w:autoSpaceDE w:val="0"/>
              <w:autoSpaceDN w:val="0"/>
              <w:adjustRightInd w:val="0"/>
              <w:spacing w:before="20" w:after="20"/>
              <w:jc w:val="center"/>
              <w:rPr>
                <w:b/>
                <w:color w:val="000000"/>
              </w:rPr>
            </w:pPr>
            <w:r w:rsidRPr="00ED3873">
              <w:rPr>
                <w:b/>
                <w:color w:val="000000"/>
              </w:rPr>
              <w:t>Pollutant</w:t>
            </w:r>
          </w:p>
        </w:tc>
        <w:tc>
          <w:tcPr>
            <w:tcW w:w="2280" w:type="dxa"/>
            <w:tcBorders>
              <w:top w:val="single" w:sz="12" w:space="0" w:color="auto"/>
              <w:left w:val="single" w:sz="12" w:space="0" w:color="auto"/>
              <w:bottom w:val="single" w:sz="12" w:space="0" w:color="auto"/>
              <w:right w:val="single" w:sz="12" w:space="0" w:color="auto"/>
            </w:tcBorders>
            <w:shd w:val="clear" w:color="auto" w:fill="C6D9F1"/>
            <w:vAlign w:val="center"/>
            <w:hideMark/>
          </w:tcPr>
          <w:p w:rsidR="0080218D" w:rsidRPr="00ED3873" w:rsidRDefault="0080218D" w:rsidP="0080218D">
            <w:pPr>
              <w:autoSpaceDE w:val="0"/>
              <w:autoSpaceDN w:val="0"/>
              <w:adjustRightInd w:val="0"/>
              <w:spacing w:before="20" w:after="20"/>
              <w:jc w:val="center"/>
              <w:rPr>
                <w:b/>
                <w:color w:val="000000"/>
              </w:rPr>
            </w:pPr>
            <w:r w:rsidRPr="00ED3873">
              <w:rPr>
                <w:b/>
                <w:color w:val="000000"/>
              </w:rPr>
              <w:t>SER (TPY)</w:t>
            </w:r>
          </w:p>
        </w:tc>
      </w:tr>
      <w:tr w:rsidR="0080218D" w:rsidRPr="005C0768" w:rsidTr="0080218D">
        <w:trPr>
          <w:trHeight w:val="264"/>
        </w:trPr>
        <w:tc>
          <w:tcPr>
            <w:tcW w:w="2280" w:type="dxa"/>
            <w:tcBorders>
              <w:top w:val="single" w:sz="12"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CO</w:t>
            </w:r>
          </w:p>
        </w:tc>
        <w:tc>
          <w:tcPr>
            <w:tcW w:w="2640" w:type="dxa"/>
            <w:tcBorders>
              <w:top w:val="single" w:sz="12"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100</w:t>
            </w:r>
          </w:p>
        </w:tc>
        <w:tc>
          <w:tcPr>
            <w:tcW w:w="2160" w:type="dxa"/>
            <w:tcBorders>
              <w:top w:val="single" w:sz="12"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NO</w:t>
            </w:r>
            <w:r w:rsidRPr="00ED3873">
              <w:rPr>
                <w:color w:val="000000"/>
                <w:vertAlign w:val="subscript"/>
              </w:rPr>
              <w:t>X</w:t>
            </w:r>
          </w:p>
        </w:tc>
        <w:tc>
          <w:tcPr>
            <w:tcW w:w="2280" w:type="dxa"/>
            <w:tcBorders>
              <w:top w:val="single" w:sz="12"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40</w:t>
            </w:r>
          </w:p>
        </w:tc>
      </w:tr>
      <w:tr w:rsidR="0080218D" w:rsidRPr="005C0768" w:rsidTr="0080218D">
        <w:trPr>
          <w:trHeight w:val="264"/>
        </w:trPr>
        <w:tc>
          <w:tcPr>
            <w:tcW w:w="228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PM/PM</w:t>
            </w:r>
            <w:r w:rsidRPr="00ED3873">
              <w:rPr>
                <w:vertAlign w:val="subscript"/>
              </w:rPr>
              <w:t>10</w:t>
            </w:r>
            <w:r w:rsidRPr="00ED3873">
              <w:rPr>
                <w:color w:val="000000"/>
              </w:rPr>
              <w:t>/PM</w:t>
            </w:r>
            <w:r w:rsidRPr="00ED3873">
              <w:rPr>
                <w:color w:val="000000"/>
                <w:vertAlign w:val="subscript"/>
              </w:rPr>
              <w:t>2.5</w:t>
            </w:r>
          </w:p>
        </w:tc>
        <w:tc>
          <w:tcPr>
            <w:tcW w:w="264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25/15/10</w:t>
            </w:r>
          </w:p>
        </w:tc>
        <w:tc>
          <w:tcPr>
            <w:tcW w:w="216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 xml:space="preserve">Ozone (VOC) </w:t>
            </w:r>
            <w:r w:rsidRPr="00ED3873">
              <w:rPr>
                <w:b/>
                <w:color w:val="000000"/>
                <w:vertAlign w:val="superscript"/>
              </w:rPr>
              <w:t>2</w:t>
            </w:r>
          </w:p>
        </w:tc>
        <w:tc>
          <w:tcPr>
            <w:tcW w:w="228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40</w:t>
            </w:r>
          </w:p>
        </w:tc>
      </w:tr>
      <w:tr w:rsidR="0080218D" w:rsidRPr="005C0768" w:rsidTr="0080218D">
        <w:trPr>
          <w:trHeight w:val="264"/>
        </w:trPr>
        <w:tc>
          <w:tcPr>
            <w:tcW w:w="228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PM</w:t>
            </w:r>
            <w:r w:rsidRPr="00ED3873">
              <w:rPr>
                <w:color w:val="000000"/>
                <w:vertAlign w:val="subscript"/>
              </w:rPr>
              <w:t>2.5</w:t>
            </w:r>
            <w:r w:rsidRPr="00ED3873">
              <w:rPr>
                <w:color w:val="000000"/>
              </w:rPr>
              <w:t xml:space="preserve"> (NO</w:t>
            </w:r>
            <w:r w:rsidRPr="00ED3873">
              <w:rPr>
                <w:vertAlign w:val="subscript"/>
              </w:rPr>
              <w:t>X</w:t>
            </w:r>
            <w:r w:rsidRPr="00ED3873">
              <w:rPr>
                <w:color w:val="000000"/>
              </w:rPr>
              <w:t>)</w:t>
            </w:r>
          </w:p>
        </w:tc>
        <w:tc>
          <w:tcPr>
            <w:tcW w:w="264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40</w:t>
            </w:r>
          </w:p>
        </w:tc>
        <w:tc>
          <w:tcPr>
            <w:tcW w:w="216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PM</w:t>
            </w:r>
            <w:r w:rsidRPr="00ED3873">
              <w:rPr>
                <w:color w:val="000000"/>
                <w:vertAlign w:val="subscript"/>
              </w:rPr>
              <w:t>2.5</w:t>
            </w:r>
            <w:r w:rsidRPr="00ED3873">
              <w:rPr>
                <w:color w:val="000000"/>
              </w:rPr>
              <w:t xml:space="preserve"> (SO</w:t>
            </w:r>
            <w:r w:rsidRPr="00ED3873">
              <w:rPr>
                <w:vertAlign w:val="subscript"/>
              </w:rPr>
              <w:t>2</w:t>
            </w:r>
            <w:r w:rsidRPr="00ED3873">
              <w:rPr>
                <w:color w:val="000000"/>
              </w:rPr>
              <w:t>)</w:t>
            </w:r>
          </w:p>
        </w:tc>
        <w:tc>
          <w:tcPr>
            <w:tcW w:w="228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40</w:t>
            </w:r>
          </w:p>
        </w:tc>
      </w:tr>
      <w:tr w:rsidR="0080218D" w:rsidRPr="005C0768" w:rsidTr="0080218D">
        <w:trPr>
          <w:trHeight w:val="246"/>
        </w:trPr>
        <w:tc>
          <w:tcPr>
            <w:tcW w:w="228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Ozone (NO</w:t>
            </w:r>
            <w:r w:rsidRPr="00ED3873">
              <w:rPr>
                <w:vertAlign w:val="subscript"/>
              </w:rPr>
              <w:t>X</w:t>
            </w:r>
            <w:r w:rsidRPr="00ED3873">
              <w:rPr>
                <w:color w:val="000000"/>
              </w:rPr>
              <w:t xml:space="preserve">) </w:t>
            </w:r>
            <w:r w:rsidRPr="00ED3873">
              <w:rPr>
                <w:b/>
                <w:color w:val="000000"/>
                <w:vertAlign w:val="superscript"/>
              </w:rPr>
              <w:t>2</w:t>
            </w:r>
          </w:p>
        </w:tc>
        <w:tc>
          <w:tcPr>
            <w:tcW w:w="264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40</w:t>
            </w:r>
          </w:p>
        </w:tc>
        <w:tc>
          <w:tcPr>
            <w:tcW w:w="216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SAM</w:t>
            </w:r>
          </w:p>
        </w:tc>
        <w:tc>
          <w:tcPr>
            <w:tcW w:w="228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7</w:t>
            </w:r>
          </w:p>
        </w:tc>
      </w:tr>
      <w:tr w:rsidR="0080218D" w:rsidRPr="005C0768" w:rsidTr="0080218D">
        <w:trPr>
          <w:trHeight w:val="255"/>
        </w:trPr>
        <w:tc>
          <w:tcPr>
            <w:tcW w:w="228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SO</w:t>
            </w:r>
            <w:r w:rsidRPr="00ED3873">
              <w:rPr>
                <w:color w:val="000000"/>
                <w:vertAlign w:val="subscript"/>
              </w:rPr>
              <w:t>2</w:t>
            </w:r>
          </w:p>
        </w:tc>
        <w:tc>
          <w:tcPr>
            <w:tcW w:w="264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40</w:t>
            </w:r>
          </w:p>
        </w:tc>
        <w:tc>
          <w:tcPr>
            <w:tcW w:w="2160" w:type="dxa"/>
            <w:tcBorders>
              <w:top w:val="single" w:sz="8" w:space="0" w:color="auto"/>
              <w:left w:val="single" w:sz="12" w:space="0" w:color="auto"/>
              <w:bottom w:val="single" w:sz="8"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Pb</w:t>
            </w:r>
          </w:p>
        </w:tc>
        <w:tc>
          <w:tcPr>
            <w:tcW w:w="2280" w:type="dxa"/>
            <w:tcBorders>
              <w:top w:val="single" w:sz="8" w:space="0" w:color="auto"/>
              <w:left w:val="single" w:sz="12" w:space="0" w:color="auto"/>
              <w:bottom w:val="single" w:sz="8"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0.6</w:t>
            </w:r>
          </w:p>
        </w:tc>
      </w:tr>
      <w:tr w:rsidR="0080218D" w:rsidRPr="005C0768" w:rsidTr="0080218D">
        <w:trPr>
          <w:trHeight w:val="255"/>
        </w:trPr>
        <w:tc>
          <w:tcPr>
            <w:tcW w:w="2280" w:type="dxa"/>
            <w:tcBorders>
              <w:top w:val="single" w:sz="8" w:space="0" w:color="auto"/>
              <w:left w:val="single" w:sz="12" w:space="0" w:color="auto"/>
              <w:bottom w:val="single" w:sz="12"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Hg</w:t>
            </w:r>
          </w:p>
        </w:tc>
        <w:tc>
          <w:tcPr>
            <w:tcW w:w="2640" w:type="dxa"/>
            <w:tcBorders>
              <w:top w:val="single" w:sz="8" w:space="0" w:color="auto"/>
              <w:left w:val="single" w:sz="12" w:space="0" w:color="auto"/>
              <w:bottom w:val="single" w:sz="12"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 xml:space="preserve">0.1 </w:t>
            </w:r>
          </w:p>
        </w:tc>
        <w:tc>
          <w:tcPr>
            <w:tcW w:w="2160" w:type="dxa"/>
            <w:tcBorders>
              <w:top w:val="single" w:sz="8" w:space="0" w:color="auto"/>
              <w:left w:val="single" w:sz="12" w:space="0" w:color="auto"/>
              <w:bottom w:val="single" w:sz="12" w:space="0" w:color="auto"/>
              <w:right w:val="single" w:sz="12" w:space="0" w:color="auto"/>
            </w:tcBorders>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GHG (CO</w:t>
            </w:r>
            <w:r w:rsidRPr="00ED3873">
              <w:rPr>
                <w:color w:val="000000"/>
                <w:vertAlign w:val="subscript"/>
              </w:rPr>
              <w:t>2</w:t>
            </w:r>
            <w:r w:rsidRPr="00ED3873">
              <w:rPr>
                <w:color w:val="000000"/>
              </w:rPr>
              <w:t>e)</w:t>
            </w:r>
          </w:p>
        </w:tc>
        <w:tc>
          <w:tcPr>
            <w:tcW w:w="2280" w:type="dxa"/>
            <w:tcBorders>
              <w:top w:val="single" w:sz="8" w:space="0" w:color="auto"/>
              <w:left w:val="single" w:sz="12" w:space="0" w:color="auto"/>
              <w:bottom w:val="single" w:sz="12" w:space="0" w:color="auto"/>
              <w:right w:val="single" w:sz="12" w:space="0" w:color="auto"/>
            </w:tcBorders>
            <w:shd w:val="clear" w:color="auto" w:fill="DAEEF3"/>
            <w:vAlign w:val="center"/>
            <w:hideMark/>
          </w:tcPr>
          <w:p w:rsidR="0080218D" w:rsidRPr="00ED3873" w:rsidRDefault="0080218D" w:rsidP="0080218D">
            <w:pPr>
              <w:autoSpaceDE w:val="0"/>
              <w:autoSpaceDN w:val="0"/>
              <w:adjustRightInd w:val="0"/>
              <w:spacing w:before="20" w:after="20"/>
              <w:jc w:val="center"/>
              <w:rPr>
                <w:color w:val="000000"/>
              </w:rPr>
            </w:pPr>
            <w:r w:rsidRPr="00ED3873">
              <w:rPr>
                <w:color w:val="000000"/>
              </w:rPr>
              <w:t>75,000</w:t>
            </w:r>
            <w:r w:rsidRPr="00ED3873">
              <w:rPr>
                <w:b/>
                <w:caps/>
                <w:color w:val="000000"/>
                <w:vertAlign w:val="superscript"/>
              </w:rPr>
              <w:t xml:space="preserve"> 3</w:t>
            </w:r>
          </w:p>
        </w:tc>
      </w:tr>
      <w:tr w:rsidR="0080218D" w:rsidRPr="005C0768" w:rsidTr="0080218D">
        <w:trPr>
          <w:trHeight w:val="311"/>
        </w:trPr>
        <w:tc>
          <w:tcPr>
            <w:tcW w:w="9360" w:type="dxa"/>
            <w:gridSpan w:val="4"/>
            <w:tcBorders>
              <w:top w:val="single" w:sz="12" w:space="0" w:color="auto"/>
              <w:left w:val="single" w:sz="12" w:space="0" w:color="auto"/>
              <w:bottom w:val="single" w:sz="12" w:space="0" w:color="auto"/>
              <w:right w:val="single" w:sz="12" w:space="0" w:color="auto"/>
            </w:tcBorders>
            <w:hideMark/>
          </w:tcPr>
          <w:p w:rsidR="0080218D" w:rsidRPr="005C0768" w:rsidRDefault="0080218D" w:rsidP="0080218D">
            <w:pPr>
              <w:numPr>
                <w:ilvl w:val="0"/>
                <w:numId w:val="14"/>
              </w:numPr>
              <w:tabs>
                <w:tab w:val="clear" w:pos="1080"/>
                <w:tab w:val="num" w:pos="342"/>
              </w:tabs>
              <w:autoSpaceDE w:val="0"/>
              <w:autoSpaceDN w:val="0"/>
              <w:adjustRightInd w:val="0"/>
              <w:spacing w:before="20"/>
              <w:ind w:left="342" w:hanging="328"/>
              <w:rPr>
                <w:color w:val="000000"/>
                <w:sz w:val="16"/>
                <w:szCs w:val="16"/>
              </w:rPr>
            </w:pPr>
            <w:r w:rsidRPr="005C0768">
              <w:rPr>
                <w:color w:val="000000"/>
                <w:sz w:val="16"/>
                <w:szCs w:val="16"/>
              </w:rPr>
              <w:t xml:space="preserve">Excluding </w:t>
            </w:r>
            <w:r>
              <w:rPr>
                <w:color w:val="000000"/>
                <w:sz w:val="16"/>
                <w:szCs w:val="16"/>
              </w:rPr>
              <w:t xml:space="preserve">fluoride and </w:t>
            </w:r>
            <w:r w:rsidRPr="005C0768">
              <w:rPr>
                <w:color w:val="000000"/>
                <w:sz w:val="16"/>
                <w:szCs w:val="16"/>
              </w:rPr>
              <w:t xml:space="preserve">those </w:t>
            </w:r>
            <w:r>
              <w:rPr>
                <w:color w:val="000000"/>
                <w:sz w:val="16"/>
                <w:szCs w:val="16"/>
              </w:rPr>
              <w:t xml:space="preserve">pollutants </w:t>
            </w:r>
            <w:r w:rsidRPr="005C0768">
              <w:rPr>
                <w:color w:val="000000"/>
                <w:sz w:val="16"/>
                <w:szCs w:val="16"/>
              </w:rPr>
              <w:t xml:space="preserve">defined for </w:t>
            </w:r>
            <w:r>
              <w:rPr>
                <w:color w:val="000000"/>
                <w:sz w:val="16"/>
                <w:szCs w:val="16"/>
              </w:rPr>
              <w:t xml:space="preserve">Pulp and Paper, </w:t>
            </w:r>
            <w:r w:rsidRPr="005C0768">
              <w:rPr>
                <w:color w:val="000000"/>
                <w:sz w:val="16"/>
                <w:szCs w:val="16"/>
              </w:rPr>
              <w:t>MWC</w:t>
            </w:r>
            <w:r>
              <w:rPr>
                <w:color w:val="000000"/>
                <w:sz w:val="16"/>
                <w:szCs w:val="16"/>
              </w:rPr>
              <w:t>, M</w:t>
            </w:r>
            <w:r w:rsidRPr="005C0768">
              <w:rPr>
                <w:color w:val="000000"/>
                <w:sz w:val="16"/>
                <w:szCs w:val="16"/>
              </w:rPr>
              <w:t>SW landfills.</w:t>
            </w:r>
          </w:p>
          <w:p w:rsidR="0080218D" w:rsidRPr="005C0768" w:rsidRDefault="0080218D" w:rsidP="0080218D">
            <w:pPr>
              <w:numPr>
                <w:ilvl w:val="0"/>
                <w:numId w:val="14"/>
              </w:numPr>
              <w:tabs>
                <w:tab w:val="clear" w:pos="1080"/>
                <w:tab w:val="num" w:pos="342"/>
              </w:tabs>
              <w:autoSpaceDE w:val="0"/>
              <w:autoSpaceDN w:val="0"/>
              <w:adjustRightInd w:val="0"/>
              <w:ind w:left="342" w:hanging="328"/>
              <w:rPr>
                <w:color w:val="000000"/>
                <w:sz w:val="16"/>
                <w:szCs w:val="16"/>
              </w:rPr>
            </w:pPr>
            <w:r w:rsidRPr="005C0768">
              <w:rPr>
                <w:color w:val="000000"/>
                <w:sz w:val="16"/>
                <w:szCs w:val="16"/>
              </w:rPr>
              <w:t>Ozone (O</w:t>
            </w:r>
            <w:r w:rsidRPr="00D95CA8">
              <w:rPr>
                <w:color w:val="000000"/>
                <w:sz w:val="16"/>
                <w:szCs w:val="16"/>
                <w:vertAlign w:val="subscript"/>
              </w:rPr>
              <w:t>3</w:t>
            </w:r>
            <w:r w:rsidRPr="005C0768">
              <w:rPr>
                <w:color w:val="000000"/>
                <w:sz w:val="16"/>
                <w:szCs w:val="16"/>
              </w:rPr>
              <w:t>) is regulated by its precursors (VOC and NO</w:t>
            </w:r>
            <w:r w:rsidRPr="00A90686">
              <w:rPr>
                <w:color w:val="000000"/>
                <w:sz w:val="16"/>
                <w:szCs w:val="16"/>
                <w:vertAlign w:val="subscript"/>
              </w:rPr>
              <w:t>X</w:t>
            </w:r>
            <w:r w:rsidRPr="005C0768">
              <w:rPr>
                <w:color w:val="000000"/>
                <w:sz w:val="16"/>
                <w:szCs w:val="16"/>
              </w:rPr>
              <w:t>).</w:t>
            </w:r>
            <w:r>
              <w:rPr>
                <w:color w:val="000000"/>
                <w:sz w:val="16"/>
                <w:szCs w:val="16"/>
              </w:rPr>
              <w:t xml:space="preserve">  PSD for PM</w:t>
            </w:r>
            <w:r w:rsidRPr="00FF2B1E">
              <w:rPr>
                <w:color w:val="000000"/>
                <w:sz w:val="16"/>
                <w:szCs w:val="16"/>
                <w:vertAlign w:val="subscript"/>
              </w:rPr>
              <w:t>2.5</w:t>
            </w:r>
            <w:r>
              <w:rPr>
                <w:color w:val="000000"/>
                <w:sz w:val="16"/>
                <w:szCs w:val="16"/>
              </w:rPr>
              <w:t xml:space="preserve"> can be triggered by its precursors (NO</w:t>
            </w:r>
            <w:r w:rsidRPr="00FF2B1E">
              <w:rPr>
                <w:color w:val="000000"/>
                <w:sz w:val="16"/>
                <w:szCs w:val="16"/>
                <w:vertAlign w:val="subscript"/>
              </w:rPr>
              <w:t>X</w:t>
            </w:r>
            <w:r>
              <w:rPr>
                <w:color w:val="000000"/>
                <w:sz w:val="16"/>
                <w:szCs w:val="16"/>
              </w:rPr>
              <w:t xml:space="preserve"> and SO</w:t>
            </w:r>
            <w:r w:rsidRPr="00FF2B1E">
              <w:rPr>
                <w:color w:val="000000"/>
                <w:sz w:val="16"/>
                <w:szCs w:val="16"/>
                <w:vertAlign w:val="subscript"/>
              </w:rPr>
              <w:t>2</w:t>
            </w:r>
            <w:r>
              <w:rPr>
                <w:color w:val="000000"/>
                <w:sz w:val="16"/>
                <w:szCs w:val="16"/>
              </w:rPr>
              <w:t>).</w:t>
            </w:r>
          </w:p>
          <w:p w:rsidR="0080218D" w:rsidRPr="005C0768" w:rsidRDefault="0080218D" w:rsidP="0080218D">
            <w:pPr>
              <w:numPr>
                <w:ilvl w:val="0"/>
                <w:numId w:val="14"/>
              </w:numPr>
              <w:tabs>
                <w:tab w:val="clear" w:pos="1080"/>
                <w:tab w:val="num" w:pos="342"/>
              </w:tabs>
              <w:autoSpaceDE w:val="0"/>
              <w:autoSpaceDN w:val="0"/>
              <w:adjustRightInd w:val="0"/>
              <w:spacing w:after="20"/>
              <w:ind w:left="342" w:hanging="328"/>
              <w:rPr>
                <w:color w:val="000000"/>
                <w:sz w:val="16"/>
                <w:szCs w:val="16"/>
              </w:rPr>
            </w:pPr>
            <w:r>
              <w:rPr>
                <w:color w:val="000000"/>
                <w:sz w:val="16"/>
                <w:szCs w:val="16"/>
              </w:rPr>
              <w:t>F</w:t>
            </w:r>
            <w:r w:rsidRPr="005C0768">
              <w:rPr>
                <w:color w:val="000000"/>
                <w:sz w:val="16"/>
                <w:szCs w:val="16"/>
              </w:rPr>
              <w:t xml:space="preserve">ederal SER of 75,000 TPY for GHG </w:t>
            </w:r>
            <w:r>
              <w:rPr>
                <w:color w:val="000000"/>
                <w:sz w:val="16"/>
                <w:szCs w:val="16"/>
              </w:rPr>
              <w:t>(</w:t>
            </w:r>
            <w:r w:rsidRPr="005C0768">
              <w:rPr>
                <w:color w:val="000000"/>
                <w:sz w:val="16"/>
                <w:szCs w:val="16"/>
              </w:rPr>
              <w:t>as CO</w:t>
            </w:r>
            <w:r w:rsidRPr="00A90686">
              <w:rPr>
                <w:color w:val="000000"/>
                <w:sz w:val="16"/>
                <w:szCs w:val="16"/>
                <w:vertAlign w:val="subscript"/>
              </w:rPr>
              <w:t>2</w:t>
            </w:r>
            <w:r w:rsidRPr="005C0768">
              <w:rPr>
                <w:color w:val="000000"/>
                <w:sz w:val="14"/>
                <w:szCs w:val="16"/>
              </w:rPr>
              <w:t>e</w:t>
            </w:r>
            <w:r>
              <w:rPr>
                <w:color w:val="000000"/>
                <w:sz w:val="16"/>
                <w:szCs w:val="16"/>
              </w:rPr>
              <w:t>) for PSD sources</w:t>
            </w:r>
            <w:r w:rsidRPr="005C0768">
              <w:rPr>
                <w:color w:val="000000"/>
                <w:sz w:val="16"/>
                <w:szCs w:val="16"/>
              </w:rPr>
              <w:t xml:space="preserve"> </w:t>
            </w:r>
            <w:r>
              <w:rPr>
                <w:color w:val="000000"/>
                <w:sz w:val="16"/>
                <w:szCs w:val="16"/>
              </w:rPr>
              <w:t xml:space="preserve">and </w:t>
            </w:r>
            <w:r w:rsidRPr="005C0768">
              <w:rPr>
                <w:color w:val="000000"/>
                <w:sz w:val="16"/>
                <w:szCs w:val="16"/>
              </w:rPr>
              <w:t>ha</w:t>
            </w:r>
            <w:r>
              <w:rPr>
                <w:color w:val="000000"/>
                <w:sz w:val="16"/>
                <w:szCs w:val="16"/>
              </w:rPr>
              <w:t xml:space="preserve">s </w:t>
            </w:r>
            <w:r w:rsidRPr="005C0768">
              <w:rPr>
                <w:color w:val="000000"/>
                <w:sz w:val="16"/>
                <w:szCs w:val="16"/>
              </w:rPr>
              <w:t xml:space="preserve">not been incorporated into Department rules. </w:t>
            </w:r>
          </w:p>
        </w:tc>
      </w:tr>
    </w:tbl>
    <w:p w:rsidR="00E03CBB" w:rsidRDefault="0080218D" w:rsidP="007D1276">
      <w:pPr>
        <w:pStyle w:val="BodyText"/>
        <w:spacing w:before="120"/>
        <w:rPr>
          <w:rFonts w:eastAsia="Calibri"/>
          <w:sz w:val="22"/>
          <w:szCs w:val="22"/>
        </w:rPr>
      </w:pPr>
      <w:r>
        <w:rPr>
          <w:rFonts w:eastAsia="Calibri"/>
          <w:sz w:val="22"/>
          <w:szCs w:val="22"/>
        </w:rPr>
        <w:t>According to 40 CFR 52.21, six greenhouse gases (</w:t>
      </w:r>
      <w:r w:rsidRPr="00ED735F">
        <w:rPr>
          <w:rFonts w:eastAsia="Calibri"/>
          <w:sz w:val="22"/>
          <w:szCs w:val="22"/>
        </w:rPr>
        <w:t>GHG</w:t>
      </w:r>
      <w:r>
        <w:rPr>
          <w:rFonts w:eastAsia="Calibri"/>
          <w:sz w:val="22"/>
          <w:szCs w:val="22"/>
        </w:rPr>
        <w:t>),</w:t>
      </w:r>
      <w:r w:rsidRPr="00ED735F">
        <w:rPr>
          <w:rFonts w:eastAsia="Calibri"/>
          <w:sz w:val="22"/>
          <w:szCs w:val="22"/>
        </w:rPr>
        <w:t xml:space="preserve"> </w:t>
      </w:r>
      <w:r>
        <w:rPr>
          <w:rFonts w:eastAsia="Calibri"/>
          <w:sz w:val="22"/>
          <w:szCs w:val="22"/>
        </w:rPr>
        <w:t xml:space="preserve">are </w:t>
      </w:r>
      <w:r w:rsidRPr="00ED735F">
        <w:rPr>
          <w:rFonts w:eastAsia="Calibri"/>
          <w:sz w:val="22"/>
          <w:szCs w:val="22"/>
        </w:rPr>
        <w:t>also be subject to regulation</w:t>
      </w:r>
      <w:r>
        <w:rPr>
          <w:rFonts w:eastAsia="Calibri"/>
          <w:sz w:val="22"/>
          <w:szCs w:val="22"/>
        </w:rPr>
        <w:t xml:space="preserve"> a</w:t>
      </w:r>
      <w:r w:rsidRPr="00ED735F">
        <w:rPr>
          <w:rFonts w:eastAsia="Calibri"/>
          <w:sz w:val="22"/>
          <w:szCs w:val="22"/>
        </w:rPr>
        <w:t>t new stationary source</w:t>
      </w:r>
      <w:r>
        <w:rPr>
          <w:rFonts w:eastAsia="Calibri"/>
          <w:sz w:val="22"/>
          <w:szCs w:val="22"/>
        </w:rPr>
        <w:t>s</w:t>
      </w:r>
      <w:r w:rsidRPr="00ED735F">
        <w:rPr>
          <w:rFonts w:eastAsia="Calibri"/>
          <w:sz w:val="22"/>
          <w:szCs w:val="22"/>
        </w:rPr>
        <w:t xml:space="preserve"> that will emit or have the potential to emit 100,000 t</w:t>
      </w:r>
      <w:r>
        <w:rPr>
          <w:rFonts w:eastAsia="Calibri"/>
          <w:sz w:val="22"/>
          <w:szCs w:val="22"/>
        </w:rPr>
        <w:t>ons/year (SER equal to 75,000 tons/year) expressed as the carbon dioxide equivalent emissions (</w:t>
      </w:r>
      <w:r w:rsidRPr="00ED735F">
        <w:rPr>
          <w:rFonts w:eastAsia="Calibri"/>
          <w:sz w:val="22"/>
          <w:szCs w:val="22"/>
        </w:rPr>
        <w:t>CO</w:t>
      </w:r>
      <w:r w:rsidRPr="00ED735F">
        <w:rPr>
          <w:rFonts w:eastAsia="Calibri"/>
          <w:sz w:val="22"/>
          <w:szCs w:val="22"/>
          <w:vertAlign w:val="subscript"/>
        </w:rPr>
        <w:t>2</w:t>
      </w:r>
      <w:r w:rsidRPr="00ED735F">
        <w:rPr>
          <w:rFonts w:eastAsia="Calibri"/>
          <w:sz w:val="22"/>
          <w:szCs w:val="22"/>
        </w:rPr>
        <w:t>e</w:t>
      </w:r>
      <w:r>
        <w:rPr>
          <w:rFonts w:eastAsia="Calibri"/>
          <w:sz w:val="22"/>
          <w:szCs w:val="22"/>
        </w:rPr>
        <w:t xml:space="preserve">).  This requirement </w:t>
      </w:r>
      <w:r w:rsidRPr="00ED735F">
        <w:rPr>
          <w:rFonts w:eastAsia="Calibri"/>
          <w:sz w:val="22"/>
          <w:szCs w:val="22"/>
        </w:rPr>
        <w:t>has not been incorporated into Department rules</w:t>
      </w:r>
      <w:r>
        <w:rPr>
          <w:rFonts w:eastAsia="Calibri"/>
          <w:sz w:val="22"/>
          <w:szCs w:val="22"/>
        </w:rPr>
        <w:t xml:space="preserve"> but is a separate requirement of the EPA.</w:t>
      </w:r>
    </w:p>
    <w:p w:rsidR="00193F10" w:rsidRPr="00193F10" w:rsidRDefault="00193F10" w:rsidP="00BA1E83">
      <w:pPr>
        <w:pStyle w:val="BodyText"/>
        <w:spacing w:before="120"/>
        <w:rPr>
          <w:b/>
          <w:sz w:val="22"/>
        </w:rPr>
      </w:pPr>
      <w:r w:rsidRPr="00193F10">
        <w:rPr>
          <w:b/>
          <w:sz w:val="22"/>
        </w:rPr>
        <w:t>PSD Applicability for Project</w:t>
      </w:r>
    </w:p>
    <w:p w:rsidR="00206014" w:rsidRDefault="00206014" w:rsidP="002C4514">
      <w:pPr>
        <w:pStyle w:val="BodyText"/>
        <w:widowControl w:val="0"/>
        <w:rPr>
          <w:sz w:val="22"/>
          <w:highlight w:val="green"/>
        </w:rPr>
      </w:pPr>
      <w:r w:rsidRPr="000D2E5C">
        <w:rPr>
          <w:sz w:val="22"/>
          <w:szCs w:val="22"/>
        </w:rPr>
        <w:t>The project is located in</w:t>
      </w:r>
      <w:r>
        <w:rPr>
          <w:sz w:val="22"/>
          <w:szCs w:val="22"/>
        </w:rPr>
        <w:t xml:space="preserve"> Putnam </w:t>
      </w:r>
      <w:r w:rsidRPr="000D2E5C">
        <w:rPr>
          <w:sz w:val="22"/>
          <w:szCs w:val="22"/>
        </w:rPr>
        <w:t xml:space="preserve">County which is in an area that is currently in attainment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sidR="006B3DD2">
        <w:rPr>
          <w:sz w:val="22"/>
        </w:rPr>
        <w:t xml:space="preserve">As provided in the application, </w:t>
      </w:r>
      <w:r w:rsidR="0080218D">
        <w:rPr>
          <w:sz w:val="22"/>
        </w:rPr>
        <w:t>Table 2 below</w:t>
      </w:r>
      <w:r w:rsidR="006B3DD2">
        <w:rPr>
          <w:sz w:val="22"/>
        </w:rPr>
        <w:t xml:space="preserve"> summarizes potential emissions and PSD applicability for the project.</w:t>
      </w:r>
    </w:p>
    <w:p w:rsidR="0081048A" w:rsidRPr="00583BBE" w:rsidRDefault="0081048A" w:rsidP="00BA1E83">
      <w:pPr>
        <w:pStyle w:val="BodyText"/>
        <w:jc w:val="both"/>
        <w:rPr>
          <w:sz w:val="22"/>
        </w:rPr>
      </w:pPr>
      <w:proofErr w:type="gramStart"/>
      <w:r>
        <w:rPr>
          <w:sz w:val="22"/>
        </w:rPr>
        <w:t xml:space="preserve">Table </w:t>
      </w:r>
      <w:r w:rsidR="0080218D">
        <w:rPr>
          <w:sz w:val="22"/>
        </w:rPr>
        <w:t>2</w:t>
      </w:r>
      <w:r w:rsidRPr="00583BBE">
        <w:rPr>
          <w:sz w:val="22"/>
        </w:rPr>
        <w:t>.</w:t>
      </w:r>
      <w:proofErr w:type="gramEnd"/>
      <w:r w:rsidRPr="00583BBE">
        <w:rPr>
          <w:sz w:val="22"/>
        </w:rPr>
        <w:t xml:space="preserve">  </w:t>
      </w:r>
      <w:r w:rsidRPr="00290299">
        <w:rPr>
          <w:sz w:val="22"/>
          <w:szCs w:val="22"/>
        </w:rPr>
        <w:t>Summary of the Applicant’s PSD Applicability</w:t>
      </w:r>
      <w:r>
        <w:rPr>
          <w:sz w:val="22"/>
          <w:szCs w:val="22"/>
        </w:rPr>
        <w:t xml:space="preserve"> </w:t>
      </w:r>
      <w:r>
        <w:rPr>
          <w:sz w:val="22"/>
        </w:rPr>
        <w:t>Analysis</w:t>
      </w:r>
    </w:p>
    <w:tbl>
      <w:tblPr>
        <w:tblW w:w="873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1530"/>
        <w:gridCol w:w="1440"/>
        <w:gridCol w:w="1440"/>
        <w:gridCol w:w="1440"/>
        <w:gridCol w:w="1440"/>
        <w:gridCol w:w="1440"/>
      </w:tblGrid>
      <w:tr w:rsidR="00365BEC" w:rsidTr="00365BEC">
        <w:trPr>
          <w:trHeight w:val="203"/>
          <w:tblHeader/>
        </w:trPr>
        <w:tc>
          <w:tcPr>
            <w:tcW w:w="1530" w:type="dxa"/>
            <w:vMerge w:val="restart"/>
            <w:vAlign w:val="center"/>
          </w:tcPr>
          <w:p w:rsidR="00365BEC" w:rsidRDefault="00365BEC" w:rsidP="00176D3D">
            <w:pPr>
              <w:pStyle w:val="BodyText"/>
              <w:widowControl w:val="0"/>
              <w:spacing w:after="0"/>
              <w:jc w:val="center"/>
              <w:rPr>
                <w:b/>
                <w:sz w:val="20"/>
              </w:rPr>
            </w:pPr>
            <w:r>
              <w:rPr>
                <w:b/>
                <w:sz w:val="20"/>
              </w:rPr>
              <w:t>Pollutant</w:t>
            </w:r>
          </w:p>
        </w:tc>
        <w:tc>
          <w:tcPr>
            <w:tcW w:w="5760" w:type="dxa"/>
            <w:gridSpan w:val="4"/>
          </w:tcPr>
          <w:p w:rsidR="00365BEC" w:rsidRDefault="00365BEC" w:rsidP="0081048A">
            <w:pPr>
              <w:pStyle w:val="BodyText"/>
              <w:widowControl w:val="0"/>
              <w:spacing w:after="0"/>
              <w:jc w:val="center"/>
              <w:rPr>
                <w:b/>
                <w:sz w:val="20"/>
              </w:rPr>
            </w:pPr>
            <w:r>
              <w:rPr>
                <w:b/>
                <w:sz w:val="20"/>
              </w:rPr>
              <w:t>Annual Emissions, Tons/Year</w:t>
            </w:r>
          </w:p>
        </w:tc>
        <w:tc>
          <w:tcPr>
            <w:tcW w:w="1440" w:type="dxa"/>
            <w:vMerge w:val="restart"/>
            <w:vAlign w:val="center"/>
          </w:tcPr>
          <w:p w:rsidR="00365BEC" w:rsidRDefault="00365BEC" w:rsidP="00176D3D">
            <w:pPr>
              <w:pStyle w:val="BodyText"/>
              <w:widowControl w:val="0"/>
              <w:spacing w:after="0"/>
              <w:jc w:val="center"/>
              <w:rPr>
                <w:b/>
                <w:sz w:val="20"/>
              </w:rPr>
            </w:pPr>
            <w:r>
              <w:rPr>
                <w:b/>
                <w:sz w:val="20"/>
              </w:rPr>
              <w:t>Subject to</w:t>
            </w:r>
          </w:p>
          <w:p w:rsidR="00365BEC" w:rsidRDefault="00365BEC" w:rsidP="00176D3D">
            <w:pPr>
              <w:pStyle w:val="BodyText"/>
              <w:widowControl w:val="0"/>
              <w:spacing w:after="0"/>
              <w:jc w:val="center"/>
              <w:rPr>
                <w:b/>
                <w:sz w:val="20"/>
              </w:rPr>
            </w:pPr>
            <w:r>
              <w:rPr>
                <w:b/>
                <w:sz w:val="20"/>
              </w:rPr>
              <w:t>PSD?</w:t>
            </w:r>
          </w:p>
        </w:tc>
      </w:tr>
      <w:tr w:rsidR="00365BEC" w:rsidTr="00365BEC">
        <w:trPr>
          <w:trHeight w:val="203"/>
          <w:tblHeader/>
        </w:trPr>
        <w:tc>
          <w:tcPr>
            <w:tcW w:w="1530" w:type="dxa"/>
            <w:vMerge/>
            <w:tcBorders>
              <w:bottom w:val="single" w:sz="12" w:space="0" w:color="auto"/>
            </w:tcBorders>
            <w:vAlign w:val="center"/>
          </w:tcPr>
          <w:p w:rsidR="00365BEC" w:rsidRDefault="00365BEC" w:rsidP="0081048A">
            <w:pPr>
              <w:pStyle w:val="BodyText"/>
              <w:widowControl w:val="0"/>
              <w:spacing w:after="0"/>
              <w:jc w:val="center"/>
              <w:rPr>
                <w:b/>
                <w:sz w:val="20"/>
              </w:rPr>
            </w:pPr>
          </w:p>
        </w:tc>
        <w:tc>
          <w:tcPr>
            <w:tcW w:w="1440" w:type="dxa"/>
            <w:tcBorders>
              <w:left w:val="single" w:sz="8" w:space="0" w:color="auto"/>
              <w:bottom w:val="single" w:sz="12" w:space="0" w:color="auto"/>
              <w:right w:val="single" w:sz="8" w:space="0" w:color="auto"/>
            </w:tcBorders>
            <w:vAlign w:val="center"/>
          </w:tcPr>
          <w:p w:rsidR="00365BEC" w:rsidRDefault="00365BEC" w:rsidP="00176D3D">
            <w:pPr>
              <w:pStyle w:val="BodyText"/>
              <w:widowControl w:val="0"/>
              <w:spacing w:after="0"/>
              <w:jc w:val="center"/>
              <w:rPr>
                <w:b/>
                <w:sz w:val="20"/>
              </w:rPr>
            </w:pPr>
            <w:r>
              <w:rPr>
                <w:b/>
                <w:sz w:val="20"/>
              </w:rPr>
              <w:t>Baseline</w:t>
            </w:r>
          </w:p>
          <w:p w:rsidR="00365BEC" w:rsidRPr="0082175B" w:rsidRDefault="00365BEC" w:rsidP="00176D3D">
            <w:pPr>
              <w:pStyle w:val="BodyText"/>
              <w:widowControl w:val="0"/>
              <w:spacing w:after="0"/>
              <w:jc w:val="center"/>
              <w:rPr>
                <w:b/>
                <w:sz w:val="20"/>
                <w:vertAlign w:val="superscript"/>
              </w:rPr>
            </w:pPr>
            <w:r>
              <w:rPr>
                <w:b/>
                <w:sz w:val="20"/>
              </w:rPr>
              <w:t xml:space="preserve">Actual </w:t>
            </w:r>
            <w:r w:rsidR="00C966E8">
              <w:rPr>
                <w:b/>
                <w:sz w:val="20"/>
                <w:vertAlign w:val="superscript"/>
              </w:rPr>
              <w:t>a</w:t>
            </w:r>
          </w:p>
        </w:tc>
        <w:tc>
          <w:tcPr>
            <w:tcW w:w="1440" w:type="dxa"/>
            <w:tcBorders>
              <w:left w:val="single" w:sz="8" w:space="0" w:color="auto"/>
              <w:bottom w:val="single" w:sz="12" w:space="0" w:color="auto"/>
              <w:right w:val="single" w:sz="8" w:space="0" w:color="auto"/>
            </w:tcBorders>
            <w:vAlign w:val="center"/>
          </w:tcPr>
          <w:p w:rsidR="00365BEC" w:rsidRDefault="00365BEC" w:rsidP="00176D3D">
            <w:pPr>
              <w:pStyle w:val="BodyText"/>
              <w:widowControl w:val="0"/>
              <w:spacing w:after="0"/>
              <w:jc w:val="center"/>
              <w:rPr>
                <w:b/>
                <w:sz w:val="20"/>
              </w:rPr>
            </w:pPr>
            <w:r>
              <w:rPr>
                <w:b/>
                <w:sz w:val="20"/>
              </w:rPr>
              <w:t>Projected</w:t>
            </w:r>
          </w:p>
          <w:p w:rsidR="00365BEC" w:rsidRPr="00445A54" w:rsidRDefault="00365BEC" w:rsidP="00176D3D">
            <w:pPr>
              <w:pStyle w:val="BodyText"/>
              <w:widowControl w:val="0"/>
              <w:spacing w:after="0"/>
              <w:jc w:val="center"/>
              <w:rPr>
                <w:b/>
                <w:sz w:val="20"/>
                <w:vertAlign w:val="superscript"/>
              </w:rPr>
            </w:pPr>
            <w:r>
              <w:rPr>
                <w:b/>
                <w:sz w:val="20"/>
              </w:rPr>
              <w:t xml:space="preserve">Actual </w:t>
            </w:r>
            <w:r w:rsidR="00C966E8">
              <w:rPr>
                <w:b/>
                <w:sz w:val="20"/>
                <w:vertAlign w:val="superscript"/>
              </w:rPr>
              <w:t>b</w:t>
            </w:r>
          </w:p>
        </w:tc>
        <w:tc>
          <w:tcPr>
            <w:tcW w:w="1440" w:type="dxa"/>
            <w:tcBorders>
              <w:left w:val="single" w:sz="8" w:space="0" w:color="auto"/>
              <w:bottom w:val="single" w:sz="12" w:space="0" w:color="auto"/>
              <w:right w:val="single" w:sz="8" w:space="0" w:color="auto"/>
            </w:tcBorders>
            <w:vAlign w:val="center"/>
          </w:tcPr>
          <w:p w:rsidR="00365BEC" w:rsidRPr="00445A54" w:rsidRDefault="00365BEC" w:rsidP="00176D3D">
            <w:pPr>
              <w:pStyle w:val="BodyText"/>
              <w:widowControl w:val="0"/>
              <w:spacing w:after="0"/>
              <w:jc w:val="center"/>
              <w:rPr>
                <w:b/>
                <w:sz w:val="20"/>
                <w:vertAlign w:val="superscript"/>
              </w:rPr>
            </w:pPr>
            <w:r>
              <w:rPr>
                <w:b/>
                <w:sz w:val="20"/>
              </w:rPr>
              <w:t xml:space="preserve">Increase </w:t>
            </w:r>
            <w:r w:rsidR="00C966E8">
              <w:rPr>
                <w:b/>
                <w:sz w:val="20"/>
                <w:vertAlign w:val="superscript"/>
              </w:rPr>
              <w:t>c</w:t>
            </w:r>
          </w:p>
        </w:tc>
        <w:tc>
          <w:tcPr>
            <w:tcW w:w="1440" w:type="dxa"/>
            <w:tcBorders>
              <w:left w:val="single" w:sz="8" w:space="0" w:color="auto"/>
              <w:bottom w:val="single" w:sz="12" w:space="0" w:color="auto"/>
            </w:tcBorders>
            <w:vAlign w:val="center"/>
          </w:tcPr>
          <w:p w:rsidR="00365BEC" w:rsidRDefault="00365BEC" w:rsidP="00176D3D">
            <w:pPr>
              <w:pStyle w:val="BodyText"/>
              <w:widowControl w:val="0"/>
              <w:spacing w:after="0"/>
              <w:jc w:val="center"/>
              <w:rPr>
                <w:b/>
                <w:sz w:val="20"/>
              </w:rPr>
            </w:pPr>
            <w:r>
              <w:rPr>
                <w:b/>
                <w:sz w:val="20"/>
              </w:rPr>
              <w:t>Significant</w:t>
            </w:r>
          </w:p>
          <w:p w:rsidR="00365BEC" w:rsidRDefault="00365BEC" w:rsidP="00176D3D">
            <w:pPr>
              <w:pStyle w:val="BodyText"/>
              <w:widowControl w:val="0"/>
              <w:spacing w:after="0"/>
              <w:jc w:val="center"/>
              <w:rPr>
                <w:b/>
                <w:sz w:val="20"/>
              </w:rPr>
            </w:pPr>
            <w:r>
              <w:rPr>
                <w:b/>
                <w:sz w:val="20"/>
              </w:rPr>
              <w:t>Emissions Rate</w:t>
            </w:r>
          </w:p>
        </w:tc>
        <w:tc>
          <w:tcPr>
            <w:tcW w:w="1440" w:type="dxa"/>
            <w:vMerge/>
            <w:tcBorders>
              <w:bottom w:val="single" w:sz="12" w:space="0" w:color="auto"/>
            </w:tcBorders>
            <w:vAlign w:val="center"/>
          </w:tcPr>
          <w:p w:rsidR="00365BEC" w:rsidRDefault="00365BEC" w:rsidP="0081048A">
            <w:pPr>
              <w:pStyle w:val="BodyText"/>
              <w:widowControl w:val="0"/>
              <w:spacing w:after="0"/>
              <w:jc w:val="center"/>
              <w:rPr>
                <w:b/>
                <w:sz w:val="20"/>
              </w:rPr>
            </w:pPr>
          </w:p>
        </w:tc>
      </w:tr>
      <w:tr w:rsidR="00365BEC" w:rsidTr="00365BEC">
        <w:trPr>
          <w:trHeight w:val="86"/>
        </w:trPr>
        <w:tc>
          <w:tcPr>
            <w:tcW w:w="1530" w:type="dxa"/>
            <w:tcBorders>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CO</w:t>
            </w:r>
          </w:p>
        </w:tc>
        <w:tc>
          <w:tcPr>
            <w:tcW w:w="1440" w:type="dxa"/>
            <w:tcBorders>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1,225.28</w:t>
            </w:r>
          </w:p>
        </w:tc>
        <w:tc>
          <w:tcPr>
            <w:tcW w:w="1440" w:type="dxa"/>
            <w:tcBorders>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1,265.04</w:t>
            </w:r>
          </w:p>
        </w:tc>
        <w:tc>
          <w:tcPr>
            <w:tcW w:w="1440" w:type="dxa"/>
            <w:tcBorders>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39.76</w:t>
            </w:r>
          </w:p>
        </w:tc>
        <w:tc>
          <w:tcPr>
            <w:tcW w:w="1440" w:type="dxa"/>
            <w:tcBorders>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100</w:t>
            </w:r>
          </w:p>
        </w:tc>
        <w:tc>
          <w:tcPr>
            <w:tcW w:w="1440" w:type="dxa"/>
            <w:tcBorders>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40"/>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NO</w:t>
            </w:r>
            <w:r w:rsidRPr="00176D3D">
              <w:rPr>
                <w:b/>
                <w:sz w:val="20"/>
                <w:vertAlign w:val="subscript"/>
              </w:rPr>
              <w:t>X</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472.18</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507.97</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35.79</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40</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13"/>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PM</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97.88</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84.80</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-13.08</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25</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67"/>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PM</w:t>
            </w:r>
            <w:r w:rsidRPr="00176D3D">
              <w:rPr>
                <w:b/>
                <w:sz w:val="20"/>
                <w:vertAlign w:val="subscript"/>
              </w:rPr>
              <w:t>10</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94.97</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90.07</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-4.90</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15</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67"/>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PM</w:t>
            </w:r>
            <w:r w:rsidRPr="00176D3D">
              <w:rPr>
                <w:b/>
                <w:sz w:val="20"/>
                <w:vertAlign w:val="subscript"/>
              </w:rPr>
              <w:t>2.5</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73.92</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72.08</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-1.84</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10</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67"/>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SO</w:t>
            </w:r>
            <w:r w:rsidRPr="00176D3D">
              <w:rPr>
                <w:b/>
                <w:sz w:val="20"/>
                <w:vertAlign w:val="subscript"/>
              </w:rPr>
              <w:t>2</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78.75</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39.78</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-38.97</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40</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22"/>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VOC</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20.53</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34.83</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14.30</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40</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22"/>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TRS</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8.15</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6.05</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-2.1</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10</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22"/>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SAM</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3.40</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1.11</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-2.29</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7</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22"/>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Lead</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0.00565</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0.00433</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-0.00132</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0.6</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22"/>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Mercury</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0.00142</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0.00154</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0.00012</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0.1</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365BEC">
        <w:trPr>
          <w:trHeight w:val="122"/>
        </w:trPr>
        <w:tc>
          <w:tcPr>
            <w:tcW w:w="153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GHG</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36,975</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69,233</w:t>
            </w:r>
          </w:p>
        </w:tc>
        <w:tc>
          <w:tcPr>
            <w:tcW w:w="1440" w:type="dxa"/>
            <w:tcBorders>
              <w:top w:val="single" w:sz="8" w:space="0" w:color="auto"/>
              <w:left w:val="single" w:sz="8" w:space="0" w:color="auto"/>
              <w:bottom w:val="single" w:sz="8"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32,258</w:t>
            </w:r>
          </w:p>
        </w:tc>
        <w:tc>
          <w:tcPr>
            <w:tcW w:w="1440" w:type="dxa"/>
            <w:tcBorders>
              <w:top w:val="single" w:sz="8" w:space="0" w:color="auto"/>
              <w:left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75,000</w:t>
            </w:r>
          </w:p>
        </w:tc>
        <w:tc>
          <w:tcPr>
            <w:tcW w:w="1440" w:type="dxa"/>
            <w:tcBorders>
              <w:top w:val="single" w:sz="8" w:space="0" w:color="auto"/>
              <w:bottom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365BEC" w:rsidTr="00275F4F">
        <w:trPr>
          <w:trHeight w:val="122"/>
        </w:trPr>
        <w:tc>
          <w:tcPr>
            <w:tcW w:w="1530" w:type="dxa"/>
            <w:tcBorders>
              <w:top w:val="single" w:sz="8" w:space="0" w:color="auto"/>
              <w:bottom w:val="single" w:sz="12" w:space="0" w:color="auto"/>
            </w:tcBorders>
            <w:vAlign w:val="center"/>
          </w:tcPr>
          <w:p w:rsidR="00365BEC" w:rsidRPr="00176D3D" w:rsidRDefault="00365BEC" w:rsidP="00176D3D">
            <w:pPr>
              <w:pStyle w:val="BodyText"/>
              <w:widowControl w:val="0"/>
              <w:spacing w:after="0"/>
              <w:jc w:val="center"/>
              <w:rPr>
                <w:b/>
                <w:sz w:val="20"/>
              </w:rPr>
            </w:pPr>
            <w:r w:rsidRPr="00176D3D">
              <w:rPr>
                <w:b/>
                <w:sz w:val="20"/>
              </w:rPr>
              <w:t>CO</w:t>
            </w:r>
            <w:r w:rsidRPr="00176D3D">
              <w:rPr>
                <w:b/>
                <w:sz w:val="20"/>
                <w:vertAlign w:val="subscript"/>
              </w:rPr>
              <w:t>2</w:t>
            </w:r>
            <w:r w:rsidRPr="00176D3D">
              <w:rPr>
                <w:b/>
                <w:sz w:val="20"/>
              </w:rPr>
              <w:t>e</w:t>
            </w:r>
          </w:p>
        </w:tc>
        <w:tc>
          <w:tcPr>
            <w:tcW w:w="1440" w:type="dxa"/>
            <w:tcBorders>
              <w:top w:val="single" w:sz="8" w:space="0" w:color="auto"/>
              <w:left w:val="single" w:sz="8" w:space="0" w:color="auto"/>
              <w:bottom w:val="single" w:sz="12"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56,077</w:t>
            </w:r>
          </w:p>
        </w:tc>
        <w:tc>
          <w:tcPr>
            <w:tcW w:w="1440" w:type="dxa"/>
            <w:tcBorders>
              <w:top w:val="single" w:sz="8" w:space="0" w:color="auto"/>
              <w:left w:val="single" w:sz="8" w:space="0" w:color="auto"/>
              <w:bottom w:val="single" w:sz="12"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92,067</w:t>
            </w:r>
          </w:p>
        </w:tc>
        <w:tc>
          <w:tcPr>
            <w:tcW w:w="1440" w:type="dxa"/>
            <w:tcBorders>
              <w:top w:val="single" w:sz="8" w:space="0" w:color="auto"/>
              <w:left w:val="single" w:sz="8" w:space="0" w:color="auto"/>
              <w:bottom w:val="single" w:sz="12" w:space="0" w:color="auto"/>
              <w:right w:val="single" w:sz="8" w:space="0" w:color="auto"/>
            </w:tcBorders>
            <w:vAlign w:val="center"/>
          </w:tcPr>
          <w:p w:rsidR="00365BEC" w:rsidRPr="00176D3D" w:rsidRDefault="00365BEC" w:rsidP="00176D3D">
            <w:pPr>
              <w:pStyle w:val="BodyText"/>
              <w:widowControl w:val="0"/>
              <w:spacing w:after="0"/>
              <w:jc w:val="center"/>
              <w:rPr>
                <w:sz w:val="20"/>
              </w:rPr>
            </w:pPr>
            <w:r w:rsidRPr="00176D3D">
              <w:rPr>
                <w:sz w:val="20"/>
              </w:rPr>
              <w:t>35,990</w:t>
            </w:r>
          </w:p>
        </w:tc>
        <w:tc>
          <w:tcPr>
            <w:tcW w:w="1440" w:type="dxa"/>
            <w:tcBorders>
              <w:top w:val="single" w:sz="8" w:space="0" w:color="auto"/>
              <w:left w:val="single" w:sz="8" w:space="0" w:color="auto"/>
              <w:bottom w:val="single" w:sz="12" w:space="0" w:color="auto"/>
            </w:tcBorders>
            <w:vAlign w:val="center"/>
          </w:tcPr>
          <w:p w:rsidR="00365BEC" w:rsidRPr="00176D3D" w:rsidRDefault="00365BEC" w:rsidP="00176D3D">
            <w:pPr>
              <w:pStyle w:val="BodyText"/>
              <w:widowControl w:val="0"/>
              <w:spacing w:after="0"/>
              <w:jc w:val="center"/>
              <w:rPr>
                <w:sz w:val="20"/>
              </w:rPr>
            </w:pPr>
            <w:r w:rsidRPr="00176D3D">
              <w:rPr>
                <w:sz w:val="20"/>
              </w:rPr>
              <w:t>75,000</w:t>
            </w:r>
          </w:p>
        </w:tc>
        <w:tc>
          <w:tcPr>
            <w:tcW w:w="1440" w:type="dxa"/>
            <w:tcBorders>
              <w:top w:val="single" w:sz="8" w:space="0" w:color="auto"/>
              <w:bottom w:val="single" w:sz="12" w:space="0" w:color="auto"/>
            </w:tcBorders>
            <w:vAlign w:val="center"/>
          </w:tcPr>
          <w:p w:rsidR="00365BEC" w:rsidRPr="00176D3D" w:rsidRDefault="00365BEC" w:rsidP="00176D3D">
            <w:pPr>
              <w:pStyle w:val="BodyText"/>
              <w:widowControl w:val="0"/>
              <w:spacing w:after="0"/>
              <w:jc w:val="center"/>
              <w:rPr>
                <w:sz w:val="20"/>
              </w:rPr>
            </w:pPr>
            <w:r w:rsidRPr="00176D3D">
              <w:rPr>
                <w:sz w:val="20"/>
              </w:rPr>
              <w:t>No</w:t>
            </w:r>
          </w:p>
        </w:tc>
      </w:tr>
      <w:tr w:rsidR="00275F4F" w:rsidTr="00275F4F">
        <w:trPr>
          <w:trHeight w:val="122"/>
        </w:trPr>
        <w:tc>
          <w:tcPr>
            <w:tcW w:w="8730" w:type="dxa"/>
            <w:gridSpan w:val="6"/>
            <w:tcBorders>
              <w:top w:val="single" w:sz="12" w:space="0" w:color="auto"/>
              <w:bottom w:val="single" w:sz="12" w:space="0" w:color="auto"/>
            </w:tcBorders>
            <w:vAlign w:val="center"/>
          </w:tcPr>
          <w:p w:rsidR="00275F4F" w:rsidRPr="00275F4F" w:rsidRDefault="00275F4F" w:rsidP="00275F4F">
            <w:pPr>
              <w:numPr>
                <w:ilvl w:val="0"/>
                <w:numId w:val="9"/>
              </w:numPr>
              <w:spacing w:after="60"/>
              <w:ind w:left="360"/>
              <w:rPr>
                <w:sz w:val="18"/>
                <w:szCs w:val="18"/>
              </w:rPr>
            </w:pPr>
            <w:r w:rsidRPr="00275F4F">
              <w:rPr>
                <w:sz w:val="18"/>
                <w:szCs w:val="18"/>
              </w:rPr>
              <w:t>Baseline actual emissions were calculated based on the following highest consecutive 2-year average:  1/2005 – 12/2006 (TRS, PM/PM</w:t>
            </w:r>
            <w:r w:rsidRPr="00275F4F">
              <w:rPr>
                <w:sz w:val="18"/>
                <w:szCs w:val="18"/>
                <w:vertAlign w:val="subscript"/>
              </w:rPr>
              <w:t>10</w:t>
            </w:r>
            <w:r w:rsidRPr="00275F4F">
              <w:rPr>
                <w:sz w:val="18"/>
                <w:szCs w:val="18"/>
              </w:rPr>
              <w:t>/PM</w:t>
            </w:r>
            <w:r w:rsidRPr="00275F4F">
              <w:rPr>
                <w:sz w:val="18"/>
                <w:szCs w:val="18"/>
                <w:vertAlign w:val="subscript"/>
              </w:rPr>
              <w:t>2.5</w:t>
            </w:r>
            <w:r w:rsidRPr="00275F4F">
              <w:rPr>
                <w:sz w:val="18"/>
                <w:szCs w:val="18"/>
              </w:rPr>
              <w:t>); 7/2005 – 6/2007 (NO</w:t>
            </w:r>
            <w:r w:rsidRPr="00275F4F">
              <w:rPr>
                <w:sz w:val="18"/>
                <w:szCs w:val="18"/>
                <w:vertAlign w:val="subscript"/>
              </w:rPr>
              <w:t>X</w:t>
            </w:r>
            <w:r w:rsidRPr="00275F4F">
              <w:rPr>
                <w:sz w:val="18"/>
                <w:szCs w:val="18"/>
              </w:rPr>
              <w:t>); 10/2006 – 9/2008 (CO, Hg); 12/2006 – 11/2008 (VOC); 2/2008 - 1/2010 (Lead); 6/2008 – 5/2010 (GHG); 10/2010 - 9/2012 (SAM); and 12/2010 – 11/2012 (SO</w:t>
            </w:r>
            <w:r w:rsidRPr="00275F4F">
              <w:rPr>
                <w:sz w:val="18"/>
                <w:szCs w:val="18"/>
                <w:vertAlign w:val="subscript"/>
              </w:rPr>
              <w:t>2</w:t>
            </w:r>
            <w:r w:rsidRPr="00275F4F">
              <w:rPr>
                <w:sz w:val="18"/>
                <w:szCs w:val="18"/>
              </w:rPr>
              <w:t>)</w:t>
            </w:r>
            <w:r>
              <w:rPr>
                <w:sz w:val="18"/>
                <w:szCs w:val="18"/>
              </w:rPr>
              <w:t>.</w:t>
            </w:r>
          </w:p>
          <w:p w:rsidR="00275F4F" w:rsidRPr="00275F4F" w:rsidRDefault="00275F4F" w:rsidP="00275F4F">
            <w:pPr>
              <w:numPr>
                <w:ilvl w:val="0"/>
                <w:numId w:val="9"/>
              </w:numPr>
              <w:spacing w:after="60"/>
              <w:ind w:left="360"/>
              <w:rPr>
                <w:sz w:val="18"/>
                <w:szCs w:val="18"/>
              </w:rPr>
            </w:pPr>
            <w:r w:rsidRPr="00275F4F">
              <w:rPr>
                <w:sz w:val="18"/>
                <w:szCs w:val="18"/>
              </w:rPr>
              <w:t xml:space="preserve">Projected actual emissions based on worst case heat input increases.  The projected actual black liquor solids (BLS) processing rate for this project was determined to be 823,000 tons BLS/year.  The total projected annual heat input rate of the BLS (9,629,100 Million British thermal units per year (MMBtu/year) and natural gas firing of 10% of the total permitted annual heat input rate (1,178,220 MMBtu/year) is </w:t>
            </w:r>
            <w:r w:rsidRPr="00E75FE8">
              <w:rPr>
                <w:sz w:val="18"/>
                <w:szCs w:val="18"/>
              </w:rPr>
              <w:t>10,807,320</w:t>
            </w:r>
            <w:r w:rsidRPr="00275F4F">
              <w:rPr>
                <w:sz w:val="18"/>
                <w:szCs w:val="18"/>
              </w:rPr>
              <w:t xml:space="preserve"> MMBtu/year.</w:t>
            </w:r>
          </w:p>
          <w:p w:rsidR="00275F4F" w:rsidRPr="00275F4F" w:rsidRDefault="00275F4F" w:rsidP="00275F4F">
            <w:pPr>
              <w:numPr>
                <w:ilvl w:val="0"/>
                <w:numId w:val="9"/>
              </w:numPr>
              <w:spacing w:after="60"/>
              <w:ind w:left="360"/>
              <w:rPr>
                <w:sz w:val="22"/>
                <w:szCs w:val="22"/>
              </w:rPr>
            </w:pPr>
            <w:r w:rsidRPr="00275F4F">
              <w:rPr>
                <w:sz w:val="18"/>
                <w:szCs w:val="18"/>
              </w:rPr>
              <w:t>The increase from the project is the difference between the projected and baseline actual emissions.</w:t>
            </w:r>
          </w:p>
        </w:tc>
      </w:tr>
    </w:tbl>
    <w:p w:rsidR="00417212" w:rsidRDefault="006B3DD2" w:rsidP="00365BEC">
      <w:pPr>
        <w:pStyle w:val="BodyText"/>
        <w:widowControl w:val="0"/>
        <w:spacing w:before="120"/>
        <w:jc w:val="both"/>
        <w:rPr>
          <w:sz w:val="22"/>
        </w:rPr>
      </w:pPr>
      <w:r>
        <w:rPr>
          <w:sz w:val="22"/>
        </w:rPr>
        <w:t>As shown in the above table, total project emissions will not exceed the PSD significant emissions rates; therefore, the project is not subject to PSD preconstruction review.</w:t>
      </w:r>
      <w:r w:rsidR="00C32828">
        <w:rPr>
          <w:sz w:val="22"/>
        </w:rPr>
        <w:t xml:space="preserve">  </w:t>
      </w:r>
    </w:p>
    <w:p w:rsidR="0081048A" w:rsidRDefault="0080218D" w:rsidP="00365BEC">
      <w:pPr>
        <w:pStyle w:val="BodyText"/>
        <w:widowControl w:val="0"/>
        <w:spacing w:before="120"/>
        <w:jc w:val="both"/>
        <w:rPr>
          <w:sz w:val="22"/>
        </w:rPr>
      </w:pPr>
      <w:r>
        <w:rPr>
          <w:sz w:val="22"/>
        </w:rPr>
        <w:t>The applicant provided a GHG and CO</w:t>
      </w:r>
      <w:r w:rsidRPr="00B22B5C">
        <w:rPr>
          <w:sz w:val="22"/>
          <w:vertAlign w:val="subscript"/>
        </w:rPr>
        <w:t>2</w:t>
      </w:r>
      <w:r>
        <w:rPr>
          <w:sz w:val="22"/>
        </w:rPr>
        <w:t>e emissions</w:t>
      </w:r>
      <w:r w:rsidR="00C32828">
        <w:rPr>
          <w:sz w:val="22"/>
        </w:rPr>
        <w:t xml:space="preserve"> PSD analysis </w:t>
      </w:r>
      <w:r w:rsidR="00417212">
        <w:rPr>
          <w:sz w:val="22"/>
        </w:rPr>
        <w:t>to demonstrate that the proposed project would not trigger</w:t>
      </w:r>
      <w:r>
        <w:rPr>
          <w:sz w:val="22"/>
        </w:rPr>
        <w:t xml:space="preserve"> a</w:t>
      </w:r>
      <w:r w:rsidR="00417212">
        <w:rPr>
          <w:sz w:val="22"/>
        </w:rPr>
        <w:t xml:space="preserve"> PSD review </w:t>
      </w:r>
      <w:r>
        <w:rPr>
          <w:sz w:val="22"/>
        </w:rPr>
        <w:t xml:space="preserve">per 40 CFR 52.21, i.e., </w:t>
      </w:r>
      <w:r w:rsidR="00417212">
        <w:rPr>
          <w:sz w:val="22"/>
        </w:rPr>
        <w:t>the PSD Tailoring Rule</w:t>
      </w:r>
      <w:r>
        <w:rPr>
          <w:sz w:val="22"/>
        </w:rPr>
        <w:t>.</w:t>
      </w:r>
    </w:p>
    <w:p w:rsidR="001C271F" w:rsidRDefault="00193F10" w:rsidP="004D1D9F">
      <w:pPr>
        <w:widowControl w:val="0"/>
        <w:spacing w:before="120" w:after="120"/>
        <w:rPr>
          <w:b/>
          <w:caps/>
          <w:sz w:val="22"/>
        </w:rPr>
      </w:pPr>
      <w:r>
        <w:rPr>
          <w:b/>
          <w:caps/>
          <w:sz w:val="22"/>
        </w:rPr>
        <w:t xml:space="preserve">3.  </w:t>
      </w:r>
      <w:r w:rsidR="00C02A29">
        <w:rPr>
          <w:b/>
          <w:caps/>
          <w:sz w:val="22"/>
        </w:rPr>
        <w:t>DEPARTMENT REVIEW</w:t>
      </w:r>
    </w:p>
    <w:p w:rsidR="001C271F" w:rsidRPr="001C271F" w:rsidRDefault="001C271F" w:rsidP="001C271F">
      <w:pPr>
        <w:autoSpaceDE w:val="0"/>
        <w:autoSpaceDN w:val="0"/>
        <w:adjustRightInd w:val="0"/>
        <w:spacing w:after="120"/>
        <w:rPr>
          <w:b/>
          <w:sz w:val="22"/>
          <w:szCs w:val="22"/>
        </w:rPr>
      </w:pPr>
      <w:r w:rsidRPr="001C271F">
        <w:rPr>
          <w:b/>
          <w:sz w:val="22"/>
          <w:szCs w:val="22"/>
        </w:rPr>
        <w:t>No. 4 Recovery Boiler</w:t>
      </w:r>
    </w:p>
    <w:p w:rsidR="00340A62" w:rsidRDefault="00F60D26" w:rsidP="00063720">
      <w:pPr>
        <w:autoSpaceDE w:val="0"/>
        <w:autoSpaceDN w:val="0"/>
        <w:adjustRightInd w:val="0"/>
        <w:spacing w:after="120"/>
        <w:rPr>
          <w:sz w:val="22"/>
          <w:szCs w:val="22"/>
        </w:rPr>
      </w:pPr>
      <w:r w:rsidRPr="00063720">
        <w:rPr>
          <w:sz w:val="22"/>
          <w:szCs w:val="22"/>
        </w:rPr>
        <w:t xml:space="preserve">The No. 4 Recovery Boiler (EU 018) began operation in December of 1976.  The maximum operational rate of this emissions unit is 210,000 pounds per hour of black liquor solids (lb BLS/hour).  </w:t>
      </w:r>
      <w:r w:rsidR="00063720">
        <w:rPr>
          <w:sz w:val="22"/>
          <w:szCs w:val="22"/>
        </w:rPr>
        <w:t>The boiler</w:t>
      </w:r>
      <w:r w:rsidR="00063720" w:rsidRPr="00206014">
        <w:rPr>
          <w:sz w:val="22"/>
          <w:szCs w:val="22"/>
        </w:rPr>
        <w:t xml:space="preserve"> is designed and permitted to burn </w:t>
      </w:r>
      <w:r w:rsidR="005F3A6D">
        <w:rPr>
          <w:sz w:val="22"/>
          <w:szCs w:val="22"/>
        </w:rPr>
        <w:t>black liquor (</w:t>
      </w:r>
      <w:r w:rsidR="00063720" w:rsidRPr="00206014">
        <w:rPr>
          <w:sz w:val="22"/>
          <w:szCs w:val="22"/>
        </w:rPr>
        <w:t>BLS</w:t>
      </w:r>
      <w:r w:rsidR="005F3A6D">
        <w:rPr>
          <w:sz w:val="22"/>
          <w:szCs w:val="22"/>
        </w:rPr>
        <w:t>)</w:t>
      </w:r>
      <w:r w:rsidR="00063720" w:rsidRPr="00206014">
        <w:rPr>
          <w:sz w:val="22"/>
          <w:szCs w:val="22"/>
        </w:rPr>
        <w:t xml:space="preserve"> to utilize its inherent energy</w:t>
      </w:r>
      <w:r w:rsidR="00063720">
        <w:rPr>
          <w:sz w:val="22"/>
          <w:szCs w:val="22"/>
        </w:rPr>
        <w:t xml:space="preserve"> </w:t>
      </w:r>
      <w:r w:rsidR="00063720" w:rsidRPr="00206014">
        <w:rPr>
          <w:sz w:val="22"/>
          <w:szCs w:val="22"/>
        </w:rPr>
        <w:t xml:space="preserve">and recover inorganic chemicals from the spent cooking liquor. </w:t>
      </w:r>
      <w:r w:rsidR="00063720">
        <w:rPr>
          <w:sz w:val="22"/>
          <w:szCs w:val="22"/>
        </w:rPr>
        <w:t xml:space="preserve"> </w:t>
      </w:r>
      <w:r w:rsidR="00340A62" w:rsidRPr="00340A62">
        <w:rPr>
          <w:sz w:val="22"/>
          <w:szCs w:val="22"/>
        </w:rPr>
        <w:t xml:space="preserve">The recovery boiler is currently permitted to fire a total maximum heat input rate of 11,782,200 </w:t>
      </w:r>
      <w:r w:rsidR="005F3A6D">
        <w:rPr>
          <w:sz w:val="22"/>
          <w:szCs w:val="22"/>
        </w:rPr>
        <w:t>million British thermal units per hour (</w:t>
      </w:r>
      <w:r w:rsidR="00340A62" w:rsidRPr="00340A62">
        <w:rPr>
          <w:sz w:val="22"/>
          <w:szCs w:val="22"/>
        </w:rPr>
        <w:t>MMBtu/hour</w:t>
      </w:r>
      <w:r w:rsidR="005F3A6D">
        <w:rPr>
          <w:sz w:val="22"/>
          <w:szCs w:val="22"/>
        </w:rPr>
        <w:t>)</w:t>
      </w:r>
      <w:r w:rsidR="00340A62" w:rsidRPr="00340A62">
        <w:rPr>
          <w:sz w:val="22"/>
          <w:szCs w:val="22"/>
        </w:rPr>
        <w:t xml:space="preserve"> of BLS, No. 6 fuel oil and on-specification used oil.  The annual fuel</w:t>
      </w:r>
      <w:r w:rsidR="00096592">
        <w:rPr>
          <w:sz w:val="22"/>
          <w:szCs w:val="22"/>
        </w:rPr>
        <w:t xml:space="preserve"> oil</w:t>
      </w:r>
      <w:r w:rsidR="00340A62" w:rsidRPr="00340A62">
        <w:rPr>
          <w:sz w:val="22"/>
          <w:szCs w:val="22"/>
        </w:rPr>
        <w:t xml:space="preserve"> firing is limited to an annual capacity factor of less than 10% of the maximum permitted annual heat input rate, which is equivalent to 1,178,220 MMBtu/year of fuel oil.  On-specification used oil is limited to less than 10% of fuel oil on an annual basis.  </w:t>
      </w:r>
    </w:p>
    <w:p w:rsidR="00DF7122" w:rsidRDefault="00063720" w:rsidP="00063720">
      <w:pPr>
        <w:autoSpaceDE w:val="0"/>
        <w:autoSpaceDN w:val="0"/>
        <w:adjustRightInd w:val="0"/>
        <w:spacing w:after="120"/>
        <w:rPr>
          <w:sz w:val="22"/>
          <w:szCs w:val="22"/>
        </w:rPr>
      </w:pPr>
      <w:r>
        <w:rPr>
          <w:sz w:val="22"/>
          <w:szCs w:val="22"/>
        </w:rPr>
        <w:t>The applicant</w:t>
      </w:r>
      <w:r w:rsidRPr="00206014">
        <w:rPr>
          <w:sz w:val="22"/>
          <w:szCs w:val="22"/>
        </w:rPr>
        <w:t xml:space="preserve"> is proposing to</w:t>
      </w:r>
      <w:r w:rsidRPr="00A321EF">
        <w:rPr>
          <w:sz w:val="22"/>
          <w:szCs w:val="22"/>
        </w:rPr>
        <w:t xml:space="preserve"> install new burners and associated equipment </w:t>
      </w:r>
      <w:r w:rsidR="001400B3">
        <w:rPr>
          <w:sz w:val="22"/>
          <w:szCs w:val="22"/>
        </w:rPr>
        <w:t>to</w:t>
      </w:r>
      <w:r w:rsidRPr="00A321EF">
        <w:rPr>
          <w:sz w:val="22"/>
          <w:szCs w:val="22"/>
        </w:rPr>
        <w:t xml:space="preserve"> </w:t>
      </w:r>
      <w:r>
        <w:rPr>
          <w:sz w:val="22"/>
          <w:szCs w:val="22"/>
        </w:rPr>
        <w:t xml:space="preserve">convert the </w:t>
      </w:r>
      <w:r w:rsidR="00D607BC">
        <w:rPr>
          <w:sz w:val="22"/>
          <w:szCs w:val="22"/>
        </w:rPr>
        <w:t xml:space="preserve">No. 4 Recovery Boiler </w:t>
      </w:r>
      <w:r w:rsidR="001400B3">
        <w:rPr>
          <w:sz w:val="22"/>
          <w:szCs w:val="22"/>
        </w:rPr>
        <w:t xml:space="preserve">from burning fuel oil </w:t>
      </w:r>
      <w:r>
        <w:rPr>
          <w:sz w:val="22"/>
          <w:szCs w:val="22"/>
        </w:rPr>
        <w:t>to</w:t>
      </w:r>
      <w:r w:rsidRPr="00A321EF">
        <w:rPr>
          <w:sz w:val="22"/>
          <w:szCs w:val="22"/>
        </w:rPr>
        <w:t xml:space="preserve"> burn</w:t>
      </w:r>
      <w:r w:rsidR="00096592">
        <w:rPr>
          <w:sz w:val="22"/>
          <w:szCs w:val="22"/>
        </w:rPr>
        <w:t>ing</w:t>
      </w:r>
      <w:r>
        <w:rPr>
          <w:sz w:val="22"/>
          <w:szCs w:val="22"/>
        </w:rPr>
        <w:t xml:space="preserve"> </w:t>
      </w:r>
      <w:r w:rsidRPr="00A321EF">
        <w:rPr>
          <w:sz w:val="22"/>
          <w:szCs w:val="22"/>
        </w:rPr>
        <w:t>natural gas</w:t>
      </w:r>
      <w:r w:rsidR="00096592">
        <w:rPr>
          <w:sz w:val="22"/>
          <w:szCs w:val="22"/>
        </w:rPr>
        <w:t xml:space="preserve"> as a supplemental fuel</w:t>
      </w:r>
      <w:r w:rsidRPr="00A321EF">
        <w:rPr>
          <w:sz w:val="22"/>
          <w:szCs w:val="22"/>
        </w:rPr>
        <w:t>.</w:t>
      </w:r>
      <w:r>
        <w:rPr>
          <w:sz w:val="22"/>
          <w:szCs w:val="22"/>
        </w:rPr>
        <w:t xml:space="preserve">  </w:t>
      </w:r>
      <w:r w:rsidR="00ED2026">
        <w:rPr>
          <w:sz w:val="22"/>
          <w:szCs w:val="22"/>
        </w:rPr>
        <w:t>The total heat input to the boiler from the combustion of natural gas</w:t>
      </w:r>
      <w:r w:rsidR="00C02A29">
        <w:rPr>
          <w:sz w:val="22"/>
          <w:szCs w:val="22"/>
        </w:rPr>
        <w:t xml:space="preserve"> in the startup and load burners combined will be 664 MMBtu/hour.  The applicant is requesting to limit the annual natural gas heat input to the current fuel oil limit of 1,178,220 MMBtu during any consecutive 12 months</w:t>
      </w:r>
      <w:r w:rsidR="00096592">
        <w:rPr>
          <w:sz w:val="22"/>
          <w:szCs w:val="22"/>
        </w:rPr>
        <w:t>.  As part of this project, the applicant is proposing to use</w:t>
      </w:r>
      <w:r w:rsidR="00421ECE">
        <w:rPr>
          <w:sz w:val="22"/>
          <w:szCs w:val="22"/>
        </w:rPr>
        <w:t xml:space="preserve"> natural gas in</w:t>
      </w:r>
      <w:r w:rsidR="00096592">
        <w:rPr>
          <w:sz w:val="22"/>
          <w:szCs w:val="22"/>
        </w:rPr>
        <w:t xml:space="preserve"> the recovery boiler </w:t>
      </w:r>
      <w:r w:rsidR="005F3A6D">
        <w:rPr>
          <w:sz w:val="22"/>
          <w:szCs w:val="22"/>
        </w:rPr>
        <w:t>for more than just</w:t>
      </w:r>
      <w:r w:rsidR="00096592">
        <w:rPr>
          <w:sz w:val="22"/>
          <w:szCs w:val="22"/>
        </w:rPr>
        <w:t xml:space="preserve"> </w:t>
      </w:r>
      <w:r w:rsidR="00096592" w:rsidRPr="00A321EF">
        <w:rPr>
          <w:sz w:val="22"/>
          <w:szCs w:val="22"/>
        </w:rPr>
        <w:t>startup</w:t>
      </w:r>
      <w:r w:rsidR="00096592">
        <w:rPr>
          <w:sz w:val="22"/>
          <w:szCs w:val="22"/>
        </w:rPr>
        <w:t>, shutdown</w:t>
      </w:r>
      <w:r w:rsidR="00096592" w:rsidRPr="00A321EF">
        <w:rPr>
          <w:sz w:val="22"/>
          <w:szCs w:val="22"/>
        </w:rPr>
        <w:t xml:space="preserve"> </w:t>
      </w:r>
      <w:r w:rsidR="00096592">
        <w:rPr>
          <w:sz w:val="22"/>
          <w:szCs w:val="22"/>
        </w:rPr>
        <w:t>or</w:t>
      </w:r>
      <w:r w:rsidR="00096592" w:rsidRPr="00A321EF">
        <w:rPr>
          <w:sz w:val="22"/>
          <w:szCs w:val="22"/>
        </w:rPr>
        <w:t xml:space="preserve"> as a supplemental fuel</w:t>
      </w:r>
      <w:r w:rsidR="00096592">
        <w:rPr>
          <w:sz w:val="22"/>
          <w:szCs w:val="22"/>
        </w:rPr>
        <w:t xml:space="preserve">.  The increase in usage depends on the efficiency of the No. 4 Recovery Boiler firing natural gas versus the No. 7 Package Boiler.  </w:t>
      </w:r>
    </w:p>
    <w:p w:rsidR="0003360E" w:rsidRPr="0003360E" w:rsidRDefault="0003360E" w:rsidP="00063720">
      <w:pPr>
        <w:autoSpaceDE w:val="0"/>
        <w:autoSpaceDN w:val="0"/>
        <w:adjustRightInd w:val="0"/>
        <w:spacing w:after="120"/>
        <w:rPr>
          <w:b/>
          <w:sz w:val="22"/>
          <w:szCs w:val="22"/>
        </w:rPr>
      </w:pPr>
      <w:r w:rsidRPr="0003360E">
        <w:rPr>
          <w:b/>
          <w:sz w:val="22"/>
          <w:szCs w:val="22"/>
        </w:rPr>
        <w:t>Emissions</w:t>
      </w:r>
    </w:p>
    <w:p w:rsidR="00FD0E7F" w:rsidRDefault="0040333E" w:rsidP="00063720">
      <w:pPr>
        <w:autoSpaceDE w:val="0"/>
        <w:autoSpaceDN w:val="0"/>
        <w:adjustRightInd w:val="0"/>
        <w:spacing w:after="120"/>
        <w:rPr>
          <w:sz w:val="22"/>
          <w:szCs w:val="22"/>
        </w:rPr>
      </w:pPr>
      <w:r>
        <w:rPr>
          <w:sz w:val="22"/>
        </w:rPr>
        <w:t xml:space="preserve">Pipeline quality natural gas contains only trace amounts of ash, sulfur and other contaminants.  </w:t>
      </w:r>
      <w:r w:rsidR="00061F31">
        <w:rPr>
          <w:sz w:val="22"/>
        </w:rPr>
        <w:t>Therefore</w:t>
      </w:r>
      <w:r>
        <w:rPr>
          <w:sz w:val="22"/>
        </w:rPr>
        <w:t>, e</w:t>
      </w:r>
      <w:r w:rsidRPr="00FB0B70">
        <w:rPr>
          <w:sz w:val="22"/>
        </w:rPr>
        <w:t xml:space="preserve">missions from firing natural gas </w:t>
      </w:r>
      <w:r w:rsidR="005F3A6D">
        <w:rPr>
          <w:sz w:val="22"/>
        </w:rPr>
        <w:t>in an equivalent amount based on heat input to currently used fuel oil in the No. 4 Recovery Boiler is</w:t>
      </w:r>
      <w:r w:rsidRPr="00FB0B70">
        <w:rPr>
          <w:sz w:val="22"/>
        </w:rPr>
        <w:t xml:space="preserve"> not expected to exceed any significant emission rates.  However, the</w:t>
      </w:r>
      <w:r>
        <w:rPr>
          <w:sz w:val="22"/>
        </w:rPr>
        <w:t xml:space="preserve"> applicants PSD analysis showed an NO</w:t>
      </w:r>
      <w:r w:rsidRPr="007C594B">
        <w:rPr>
          <w:sz w:val="22"/>
          <w:vertAlign w:val="subscript"/>
        </w:rPr>
        <w:t>X</w:t>
      </w:r>
      <w:r>
        <w:rPr>
          <w:sz w:val="22"/>
        </w:rPr>
        <w:t xml:space="preserve"> emission increase of 35.79 tons/year, which is just below the PSD significant emissions rate of 40 tons/year.  To provide reasonable assurance that the project emissions will not exceed the PSD significant emissions rates, </w:t>
      </w:r>
      <w:r w:rsidRPr="00FD0E7F">
        <w:rPr>
          <w:sz w:val="22"/>
          <w:szCs w:val="22"/>
        </w:rPr>
        <w:t>the Department estimated the difference in emission</w:t>
      </w:r>
      <w:r>
        <w:rPr>
          <w:sz w:val="22"/>
          <w:szCs w:val="22"/>
        </w:rPr>
        <w:t>s</w:t>
      </w:r>
      <w:r w:rsidRPr="00FD0E7F">
        <w:rPr>
          <w:sz w:val="22"/>
          <w:szCs w:val="22"/>
        </w:rPr>
        <w:t xml:space="preserve"> by comparing the </w:t>
      </w:r>
      <w:r>
        <w:rPr>
          <w:sz w:val="22"/>
          <w:szCs w:val="22"/>
        </w:rPr>
        <w:t xml:space="preserve">AP-42 emission factors for the combustion of </w:t>
      </w:r>
      <w:r w:rsidRPr="00FD0E7F">
        <w:rPr>
          <w:sz w:val="22"/>
          <w:szCs w:val="22"/>
        </w:rPr>
        <w:t xml:space="preserve">fuel oil </w:t>
      </w:r>
      <w:r>
        <w:rPr>
          <w:sz w:val="22"/>
          <w:szCs w:val="22"/>
        </w:rPr>
        <w:t>and</w:t>
      </w:r>
      <w:r w:rsidRPr="00FD0E7F">
        <w:rPr>
          <w:sz w:val="22"/>
          <w:szCs w:val="22"/>
        </w:rPr>
        <w:t xml:space="preserve"> natural gas</w:t>
      </w:r>
      <w:r>
        <w:rPr>
          <w:sz w:val="22"/>
          <w:szCs w:val="22"/>
        </w:rPr>
        <w:t xml:space="preserve">.  The results are summarized in </w:t>
      </w:r>
      <w:r w:rsidR="005F3A6D">
        <w:rPr>
          <w:sz w:val="22"/>
          <w:szCs w:val="22"/>
        </w:rPr>
        <w:t>Table 3</w:t>
      </w:r>
      <w:r w:rsidRPr="00FD0E7F">
        <w:rPr>
          <w:sz w:val="22"/>
          <w:szCs w:val="22"/>
        </w:rPr>
        <w:t>.</w:t>
      </w:r>
      <w:r>
        <w:rPr>
          <w:sz w:val="22"/>
          <w:szCs w:val="22"/>
        </w:rPr>
        <w:t xml:space="preserve"> </w:t>
      </w:r>
      <w:r w:rsidR="00FD0E7F">
        <w:rPr>
          <w:sz w:val="22"/>
          <w:szCs w:val="22"/>
        </w:rPr>
        <w:t xml:space="preserve"> </w:t>
      </w:r>
    </w:p>
    <w:p w:rsidR="001400B3" w:rsidRDefault="001E1CB0" w:rsidP="00063720">
      <w:pPr>
        <w:autoSpaceDE w:val="0"/>
        <w:autoSpaceDN w:val="0"/>
        <w:adjustRightInd w:val="0"/>
        <w:spacing w:after="120"/>
        <w:rPr>
          <w:sz w:val="22"/>
          <w:szCs w:val="22"/>
        </w:rPr>
      </w:pPr>
      <w:proofErr w:type="gramStart"/>
      <w:r>
        <w:rPr>
          <w:sz w:val="22"/>
          <w:szCs w:val="22"/>
        </w:rPr>
        <w:t xml:space="preserve">Table </w:t>
      </w:r>
      <w:r w:rsidR="005F3A6D">
        <w:rPr>
          <w:sz w:val="22"/>
          <w:szCs w:val="22"/>
        </w:rPr>
        <w:t>3</w:t>
      </w:r>
      <w:r>
        <w:rPr>
          <w:sz w:val="22"/>
          <w:szCs w:val="22"/>
        </w:rPr>
        <w:t>.</w:t>
      </w:r>
      <w:proofErr w:type="gramEnd"/>
      <w:r>
        <w:rPr>
          <w:sz w:val="22"/>
          <w:szCs w:val="22"/>
        </w:rPr>
        <w:t xml:space="preserve">  </w:t>
      </w:r>
      <w:r w:rsidR="00EF55AD">
        <w:rPr>
          <w:sz w:val="22"/>
          <w:szCs w:val="22"/>
        </w:rPr>
        <w:t xml:space="preserve">Estimated Emissions Data for the </w:t>
      </w:r>
      <w:r>
        <w:rPr>
          <w:sz w:val="22"/>
          <w:szCs w:val="22"/>
        </w:rPr>
        <w:t>No. 4 Recovery Boiler firing Fuel Oil and Natural Gas</w:t>
      </w: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0"/>
        <w:gridCol w:w="1620"/>
        <w:gridCol w:w="1620"/>
        <w:gridCol w:w="1440"/>
        <w:gridCol w:w="1620"/>
        <w:gridCol w:w="1530"/>
        <w:gridCol w:w="1260"/>
      </w:tblGrid>
      <w:tr w:rsidR="00B561BC" w:rsidRPr="00754AF9" w:rsidTr="00B06B66">
        <w:trPr>
          <w:trHeight w:val="162"/>
        </w:trPr>
        <w:tc>
          <w:tcPr>
            <w:tcW w:w="1080" w:type="dxa"/>
            <w:vMerge w:val="restart"/>
            <w:tcBorders>
              <w:top w:val="single" w:sz="12" w:space="0" w:color="000000"/>
              <w:left w:val="single" w:sz="12" w:space="0" w:color="000000"/>
              <w:right w:val="single" w:sz="12" w:space="0" w:color="000000"/>
            </w:tcBorders>
            <w:vAlign w:val="bottom"/>
          </w:tcPr>
          <w:p w:rsidR="00B561BC" w:rsidRPr="00FE4F06" w:rsidRDefault="00B561BC" w:rsidP="00F564A4">
            <w:pPr>
              <w:autoSpaceDE w:val="0"/>
              <w:autoSpaceDN w:val="0"/>
              <w:adjustRightInd w:val="0"/>
              <w:jc w:val="center"/>
              <w:rPr>
                <w:b/>
              </w:rPr>
            </w:pPr>
            <w:r w:rsidRPr="00FE4F06">
              <w:rPr>
                <w:b/>
              </w:rPr>
              <w:t>Pollutant</w:t>
            </w:r>
          </w:p>
        </w:tc>
        <w:tc>
          <w:tcPr>
            <w:tcW w:w="1620" w:type="dxa"/>
            <w:vMerge w:val="restart"/>
            <w:tcBorders>
              <w:top w:val="single" w:sz="12" w:space="0" w:color="000000"/>
              <w:left w:val="single" w:sz="12" w:space="0" w:color="000000"/>
              <w:right w:val="single" w:sz="12" w:space="0" w:color="000000"/>
            </w:tcBorders>
            <w:vAlign w:val="bottom"/>
          </w:tcPr>
          <w:p w:rsidR="00B561BC" w:rsidRDefault="00B561BC" w:rsidP="00B561BC">
            <w:pPr>
              <w:autoSpaceDE w:val="0"/>
              <w:autoSpaceDN w:val="0"/>
              <w:adjustRightInd w:val="0"/>
              <w:jc w:val="center"/>
              <w:rPr>
                <w:b/>
              </w:rPr>
            </w:pPr>
            <w:r>
              <w:rPr>
                <w:b/>
              </w:rPr>
              <w:t>Heat Input</w:t>
            </w:r>
          </w:p>
          <w:p w:rsidR="00B561BC" w:rsidRDefault="00B561BC" w:rsidP="00061F31">
            <w:pPr>
              <w:autoSpaceDE w:val="0"/>
              <w:autoSpaceDN w:val="0"/>
              <w:adjustRightInd w:val="0"/>
              <w:jc w:val="center"/>
              <w:rPr>
                <w:b/>
              </w:rPr>
            </w:pPr>
            <w:r>
              <w:rPr>
                <w:b/>
              </w:rPr>
              <w:t>(MMBtu/</w:t>
            </w:r>
            <w:r w:rsidR="00061F31">
              <w:rPr>
                <w:b/>
              </w:rPr>
              <w:t>Y</w:t>
            </w:r>
            <w:r>
              <w:rPr>
                <w:b/>
              </w:rPr>
              <w:t>ear)</w:t>
            </w:r>
            <w:r w:rsidR="00B06B66">
              <w:rPr>
                <w:b/>
                <w:vertAlign w:val="superscript"/>
              </w:rPr>
              <w:t>a</w:t>
            </w:r>
          </w:p>
        </w:tc>
        <w:tc>
          <w:tcPr>
            <w:tcW w:w="3060" w:type="dxa"/>
            <w:gridSpan w:val="2"/>
            <w:tcBorders>
              <w:top w:val="single" w:sz="12" w:space="0" w:color="000000"/>
              <w:left w:val="single" w:sz="12" w:space="0" w:color="000000"/>
              <w:bottom w:val="single" w:sz="12" w:space="0" w:color="000000"/>
              <w:right w:val="single" w:sz="12" w:space="0" w:color="000000"/>
            </w:tcBorders>
            <w:vAlign w:val="center"/>
          </w:tcPr>
          <w:p w:rsidR="00B561BC" w:rsidRPr="00FE4F06" w:rsidRDefault="00B561BC" w:rsidP="00800F4A">
            <w:pPr>
              <w:autoSpaceDE w:val="0"/>
              <w:autoSpaceDN w:val="0"/>
              <w:adjustRightInd w:val="0"/>
              <w:jc w:val="center"/>
              <w:rPr>
                <w:b/>
              </w:rPr>
            </w:pPr>
            <w:r>
              <w:rPr>
                <w:b/>
              </w:rPr>
              <w:t>Fuel Oil Emissions</w:t>
            </w:r>
          </w:p>
        </w:tc>
        <w:tc>
          <w:tcPr>
            <w:tcW w:w="3150" w:type="dxa"/>
            <w:gridSpan w:val="2"/>
            <w:tcBorders>
              <w:top w:val="single" w:sz="12" w:space="0" w:color="000000"/>
              <w:left w:val="single" w:sz="12" w:space="0" w:color="000000"/>
              <w:bottom w:val="single" w:sz="12" w:space="0" w:color="000000"/>
              <w:right w:val="single" w:sz="12" w:space="0" w:color="000000"/>
            </w:tcBorders>
            <w:vAlign w:val="center"/>
          </w:tcPr>
          <w:p w:rsidR="00B561BC" w:rsidRDefault="00B561BC" w:rsidP="00F564A4">
            <w:pPr>
              <w:autoSpaceDE w:val="0"/>
              <w:autoSpaceDN w:val="0"/>
              <w:adjustRightInd w:val="0"/>
              <w:jc w:val="center"/>
              <w:rPr>
                <w:b/>
              </w:rPr>
            </w:pPr>
            <w:r>
              <w:rPr>
                <w:b/>
              </w:rPr>
              <w:t>Natural Gas Emissions</w:t>
            </w:r>
          </w:p>
        </w:tc>
        <w:tc>
          <w:tcPr>
            <w:tcW w:w="1260" w:type="dxa"/>
            <w:vMerge w:val="restart"/>
            <w:tcBorders>
              <w:top w:val="single" w:sz="12" w:space="0" w:color="000000"/>
              <w:left w:val="single" w:sz="12" w:space="0" w:color="000000"/>
              <w:right w:val="single" w:sz="12" w:space="0" w:color="000000"/>
            </w:tcBorders>
            <w:vAlign w:val="bottom"/>
          </w:tcPr>
          <w:p w:rsidR="00B561BC" w:rsidRDefault="00B561BC" w:rsidP="00F564A4">
            <w:pPr>
              <w:autoSpaceDE w:val="0"/>
              <w:autoSpaceDN w:val="0"/>
              <w:adjustRightInd w:val="0"/>
              <w:jc w:val="center"/>
              <w:rPr>
                <w:b/>
              </w:rPr>
            </w:pPr>
            <w:r>
              <w:rPr>
                <w:b/>
              </w:rPr>
              <w:t>Increase</w:t>
            </w:r>
          </w:p>
          <w:p w:rsidR="00B561BC" w:rsidRPr="00FE4F06" w:rsidRDefault="00B561BC" w:rsidP="00421ECE">
            <w:pPr>
              <w:autoSpaceDE w:val="0"/>
              <w:autoSpaceDN w:val="0"/>
              <w:adjustRightInd w:val="0"/>
              <w:jc w:val="center"/>
              <w:rPr>
                <w:b/>
              </w:rPr>
            </w:pPr>
            <w:r>
              <w:rPr>
                <w:b/>
              </w:rPr>
              <w:t>(</w:t>
            </w:r>
            <w:r w:rsidR="00421ECE">
              <w:rPr>
                <w:b/>
              </w:rPr>
              <w:t>Tons/Year</w:t>
            </w:r>
            <w:r>
              <w:rPr>
                <w:b/>
              </w:rPr>
              <w:t>)</w:t>
            </w:r>
          </w:p>
        </w:tc>
      </w:tr>
      <w:tr w:rsidR="00B561BC" w:rsidRPr="00754AF9" w:rsidTr="00B06B66">
        <w:trPr>
          <w:trHeight w:val="510"/>
        </w:trPr>
        <w:tc>
          <w:tcPr>
            <w:tcW w:w="1080" w:type="dxa"/>
            <w:vMerge/>
            <w:tcBorders>
              <w:left w:val="single" w:sz="12" w:space="0" w:color="000000"/>
              <w:right w:val="single" w:sz="12" w:space="0" w:color="000000"/>
            </w:tcBorders>
            <w:vAlign w:val="center"/>
          </w:tcPr>
          <w:p w:rsidR="00B561BC" w:rsidRPr="00FE4F06" w:rsidRDefault="00B561BC" w:rsidP="00FE4F06">
            <w:pPr>
              <w:autoSpaceDE w:val="0"/>
              <w:autoSpaceDN w:val="0"/>
              <w:adjustRightInd w:val="0"/>
              <w:jc w:val="center"/>
              <w:rPr>
                <w:b/>
              </w:rPr>
            </w:pPr>
          </w:p>
        </w:tc>
        <w:tc>
          <w:tcPr>
            <w:tcW w:w="1620" w:type="dxa"/>
            <w:vMerge/>
            <w:tcBorders>
              <w:left w:val="single" w:sz="12" w:space="0" w:color="000000"/>
              <w:right w:val="single" w:sz="12" w:space="0" w:color="000000"/>
            </w:tcBorders>
          </w:tcPr>
          <w:p w:rsidR="00B561BC" w:rsidRDefault="00B561BC" w:rsidP="009E66A7">
            <w:pPr>
              <w:autoSpaceDE w:val="0"/>
              <w:autoSpaceDN w:val="0"/>
              <w:adjustRightInd w:val="0"/>
              <w:jc w:val="center"/>
              <w:rPr>
                <w:b/>
              </w:rPr>
            </w:pPr>
          </w:p>
        </w:tc>
        <w:tc>
          <w:tcPr>
            <w:tcW w:w="1620" w:type="dxa"/>
            <w:tcBorders>
              <w:top w:val="single" w:sz="12" w:space="0" w:color="000000"/>
              <w:left w:val="single" w:sz="12" w:space="0" w:color="000000"/>
              <w:right w:val="single" w:sz="8" w:space="0" w:color="000000"/>
            </w:tcBorders>
            <w:vAlign w:val="bottom"/>
          </w:tcPr>
          <w:p w:rsidR="00B561BC" w:rsidRDefault="00B561BC" w:rsidP="009E66A7">
            <w:pPr>
              <w:autoSpaceDE w:val="0"/>
              <w:autoSpaceDN w:val="0"/>
              <w:adjustRightInd w:val="0"/>
              <w:jc w:val="center"/>
              <w:rPr>
                <w:b/>
              </w:rPr>
            </w:pPr>
            <w:r>
              <w:rPr>
                <w:b/>
              </w:rPr>
              <w:t>Emission Factor</w:t>
            </w:r>
          </w:p>
          <w:p w:rsidR="00B561BC" w:rsidRPr="005E301F" w:rsidRDefault="00B561BC" w:rsidP="00543867">
            <w:pPr>
              <w:autoSpaceDE w:val="0"/>
              <w:autoSpaceDN w:val="0"/>
              <w:adjustRightInd w:val="0"/>
              <w:jc w:val="center"/>
              <w:rPr>
                <w:b/>
                <w:vertAlign w:val="superscript"/>
              </w:rPr>
            </w:pPr>
            <w:r>
              <w:rPr>
                <w:b/>
              </w:rPr>
              <w:t>(lb/MMBtu)</w:t>
            </w:r>
            <w:r w:rsidR="00B06B66">
              <w:rPr>
                <w:b/>
                <w:vertAlign w:val="superscript"/>
              </w:rPr>
              <w:t>b</w:t>
            </w:r>
          </w:p>
        </w:tc>
        <w:tc>
          <w:tcPr>
            <w:tcW w:w="1440" w:type="dxa"/>
            <w:tcBorders>
              <w:left w:val="single" w:sz="8" w:space="0" w:color="000000"/>
              <w:right w:val="single" w:sz="12" w:space="0" w:color="000000"/>
            </w:tcBorders>
            <w:vAlign w:val="center"/>
          </w:tcPr>
          <w:p w:rsidR="00B561BC" w:rsidRDefault="00B561BC" w:rsidP="009E66A7">
            <w:pPr>
              <w:autoSpaceDE w:val="0"/>
              <w:autoSpaceDN w:val="0"/>
              <w:adjustRightInd w:val="0"/>
              <w:jc w:val="center"/>
              <w:rPr>
                <w:b/>
              </w:rPr>
            </w:pPr>
            <w:r>
              <w:rPr>
                <w:b/>
              </w:rPr>
              <w:t>Equivalent Emissions</w:t>
            </w:r>
          </w:p>
          <w:p w:rsidR="00B561BC" w:rsidRDefault="001F34C4" w:rsidP="00061F31">
            <w:pPr>
              <w:autoSpaceDE w:val="0"/>
              <w:autoSpaceDN w:val="0"/>
              <w:adjustRightInd w:val="0"/>
              <w:jc w:val="center"/>
              <w:rPr>
                <w:b/>
              </w:rPr>
            </w:pPr>
            <w:r>
              <w:rPr>
                <w:b/>
              </w:rPr>
              <w:t>(Tons/</w:t>
            </w:r>
            <w:r w:rsidR="00061F31">
              <w:rPr>
                <w:b/>
              </w:rPr>
              <w:t>Y</w:t>
            </w:r>
            <w:r w:rsidR="00B561BC">
              <w:rPr>
                <w:b/>
              </w:rPr>
              <w:t>ear)</w:t>
            </w:r>
          </w:p>
        </w:tc>
        <w:tc>
          <w:tcPr>
            <w:tcW w:w="1620" w:type="dxa"/>
            <w:tcBorders>
              <w:top w:val="single" w:sz="12" w:space="0" w:color="000000"/>
              <w:left w:val="single" w:sz="12" w:space="0" w:color="000000"/>
              <w:right w:val="single" w:sz="8" w:space="0" w:color="000000"/>
            </w:tcBorders>
            <w:vAlign w:val="bottom"/>
          </w:tcPr>
          <w:p w:rsidR="00B561BC" w:rsidRDefault="00B561BC" w:rsidP="00543867">
            <w:pPr>
              <w:autoSpaceDE w:val="0"/>
              <w:autoSpaceDN w:val="0"/>
              <w:adjustRightInd w:val="0"/>
              <w:jc w:val="center"/>
              <w:rPr>
                <w:b/>
              </w:rPr>
            </w:pPr>
            <w:r>
              <w:rPr>
                <w:b/>
              </w:rPr>
              <w:t>Emission Factor</w:t>
            </w:r>
          </w:p>
          <w:p w:rsidR="00B561BC" w:rsidRDefault="00B561BC" w:rsidP="00543867">
            <w:pPr>
              <w:autoSpaceDE w:val="0"/>
              <w:autoSpaceDN w:val="0"/>
              <w:adjustRightInd w:val="0"/>
              <w:jc w:val="center"/>
              <w:rPr>
                <w:b/>
              </w:rPr>
            </w:pPr>
            <w:r>
              <w:rPr>
                <w:b/>
              </w:rPr>
              <w:t>(lb/MMBtu)</w:t>
            </w:r>
            <w:r w:rsidR="00B06B66">
              <w:rPr>
                <w:b/>
                <w:vertAlign w:val="superscript"/>
              </w:rPr>
              <w:t>c</w:t>
            </w:r>
          </w:p>
        </w:tc>
        <w:tc>
          <w:tcPr>
            <w:tcW w:w="1530" w:type="dxa"/>
            <w:tcBorders>
              <w:top w:val="single" w:sz="12" w:space="0" w:color="000000"/>
              <w:left w:val="single" w:sz="8" w:space="0" w:color="000000"/>
              <w:right w:val="single" w:sz="12" w:space="0" w:color="000000"/>
            </w:tcBorders>
            <w:vAlign w:val="center"/>
          </w:tcPr>
          <w:p w:rsidR="00B561BC" w:rsidRPr="00FE4F06" w:rsidRDefault="00B561BC" w:rsidP="005E301F">
            <w:pPr>
              <w:autoSpaceDE w:val="0"/>
              <w:autoSpaceDN w:val="0"/>
              <w:adjustRightInd w:val="0"/>
              <w:jc w:val="center"/>
              <w:rPr>
                <w:b/>
              </w:rPr>
            </w:pPr>
            <w:r>
              <w:rPr>
                <w:b/>
              </w:rPr>
              <w:t>Equivalent Emissions</w:t>
            </w:r>
          </w:p>
          <w:p w:rsidR="00B561BC" w:rsidRPr="00FE4F06" w:rsidRDefault="00B561BC" w:rsidP="00061F31">
            <w:pPr>
              <w:autoSpaceDE w:val="0"/>
              <w:autoSpaceDN w:val="0"/>
              <w:adjustRightInd w:val="0"/>
              <w:jc w:val="center"/>
              <w:rPr>
                <w:b/>
              </w:rPr>
            </w:pPr>
            <w:r>
              <w:rPr>
                <w:b/>
              </w:rPr>
              <w:t>(</w:t>
            </w:r>
            <w:r w:rsidR="001F34C4">
              <w:rPr>
                <w:b/>
              </w:rPr>
              <w:t>Tons/</w:t>
            </w:r>
            <w:r w:rsidR="00061F31">
              <w:rPr>
                <w:b/>
              </w:rPr>
              <w:t>Y</w:t>
            </w:r>
            <w:r w:rsidR="001F34C4">
              <w:rPr>
                <w:b/>
              </w:rPr>
              <w:t>ear</w:t>
            </w:r>
            <w:r>
              <w:rPr>
                <w:b/>
              </w:rPr>
              <w:t>)</w:t>
            </w:r>
          </w:p>
        </w:tc>
        <w:tc>
          <w:tcPr>
            <w:tcW w:w="1260" w:type="dxa"/>
            <w:vMerge/>
            <w:tcBorders>
              <w:left w:val="single" w:sz="12" w:space="0" w:color="000000"/>
              <w:right w:val="single" w:sz="12" w:space="0" w:color="000000"/>
            </w:tcBorders>
          </w:tcPr>
          <w:p w:rsidR="00B561BC" w:rsidRPr="00FE4F06" w:rsidRDefault="00B561BC" w:rsidP="00FE4F06">
            <w:pPr>
              <w:autoSpaceDE w:val="0"/>
              <w:autoSpaceDN w:val="0"/>
              <w:adjustRightInd w:val="0"/>
              <w:jc w:val="center"/>
              <w:rPr>
                <w:b/>
              </w:rPr>
            </w:pPr>
          </w:p>
        </w:tc>
      </w:tr>
      <w:tr w:rsidR="0040333E" w:rsidRPr="00754AF9" w:rsidTr="00B06B66">
        <w:tc>
          <w:tcPr>
            <w:tcW w:w="1080" w:type="dxa"/>
            <w:tcBorders>
              <w:top w:val="single" w:sz="12" w:space="0" w:color="000000"/>
              <w:left w:val="single" w:sz="12" w:space="0" w:color="000000"/>
              <w:bottom w:val="single" w:sz="8" w:space="0" w:color="000000"/>
              <w:right w:val="single" w:sz="12" w:space="0" w:color="000000"/>
            </w:tcBorders>
            <w:vAlign w:val="center"/>
          </w:tcPr>
          <w:p w:rsidR="0040333E" w:rsidRPr="00176D3D" w:rsidRDefault="0040333E" w:rsidP="00340A62">
            <w:pPr>
              <w:pStyle w:val="BodyText"/>
              <w:widowControl w:val="0"/>
              <w:spacing w:after="0"/>
              <w:jc w:val="center"/>
              <w:rPr>
                <w:b/>
                <w:sz w:val="20"/>
              </w:rPr>
            </w:pPr>
            <w:r w:rsidRPr="00176D3D">
              <w:rPr>
                <w:b/>
                <w:sz w:val="20"/>
              </w:rPr>
              <w:t>CO</w:t>
            </w:r>
          </w:p>
        </w:tc>
        <w:tc>
          <w:tcPr>
            <w:tcW w:w="1620" w:type="dxa"/>
            <w:tcBorders>
              <w:top w:val="single" w:sz="12"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12"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0.033</w:t>
            </w:r>
          </w:p>
        </w:tc>
        <w:tc>
          <w:tcPr>
            <w:tcW w:w="1440" w:type="dxa"/>
            <w:tcBorders>
              <w:top w:val="single" w:sz="12" w:space="0" w:color="000000"/>
              <w:left w:val="single" w:sz="8"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19.64</w:t>
            </w:r>
          </w:p>
        </w:tc>
        <w:tc>
          <w:tcPr>
            <w:tcW w:w="1620" w:type="dxa"/>
            <w:tcBorders>
              <w:top w:val="single" w:sz="12"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0.084</w:t>
            </w:r>
          </w:p>
        </w:tc>
        <w:tc>
          <w:tcPr>
            <w:tcW w:w="1530" w:type="dxa"/>
            <w:tcBorders>
              <w:top w:val="single" w:sz="12" w:space="0" w:color="000000"/>
              <w:left w:val="single" w:sz="8"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49.48</w:t>
            </w:r>
          </w:p>
        </w:tc>
        <w:tc>
          <w:tcPr>
            <w:tcW w:w="1260" w:type="dxa"/>
            <w:tcBorders>
              <w:top w:val="single" w:sz="12" w:space="0" w:color="000000"/>
              <w:left w:val="single" w:sz="12" w:space="0" w:color="000000"/>
              <w:bottom w:val="single" w:sz="8" w:space="0" w:color="000000"/>
              <w:right w:val="single" w:sz="12" w:space="0" w:color="000000"/>
            </w:tcBorders>
            <w:vAlign w:val="center"/>
          </w:tcPr>
          <w:p w:rsidR="0040333E" w:rsidRPr="00FE4F06" w:rsidRDefault="0040333E" w:rsidP="00061F31">
            <w:pPr>
              <w:autoSpaceDE w:val="0"/>
              <w:autoSpaceDN w:val="0"/>
              <w:adjustRightInd w:val="0"/>
              <w:jc w:val="center"/>
            </w:pPr>
            <w:r>
              <w:t>29.8</w:t>
            </w:r>
            <w:r w:rsidR="00061F31">
              <w:t>4</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Pr="0091170C" w:rsidRDefault="0040333E" w:rsidP="00340A62">
            <w:pPr>
              <w:pStyle w:val="BodyText"/>
              <w:widowControl w:val="0"/>
              <w:spacing w:after="0"/>
              <w:jc w:val="center"/>
              <w:rPr>
                <w:b/>
                <w:sz w:val="20"/>
                <w:vertAlign w:val="superscript"/>
              </w:rPr>
            </w:pPr>
            <w:r w:rsidRPr="00176D3D">
              <w:rPr>
                <w:b/>
                <w:sz w:val="20"/>
              </w:rPr>
              <w:t>NO</w:t>
            </w:r>
            <w:r w:rsidRPr="00176D3D">
              <w:rPr>
                <w:b/>
                <w:sz w:val="20"/>
                <w:vertAlign w:val="subscript"/>
              </w:rPr>
              <w:t>X</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0.313</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184.59</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0.28</w:t>
            </w:r>
            <w:r>
              <w:rPr>
                <w:b/>
                <w:vertAlign w:val="superscript"/>
              </w:rPr>
              <w:t>e</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164.95</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-19.64</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Pr="00EB2C55" w:rsidRDefault="0040333E" w:rsidP="00340A62">
            <w:pPr>
              <w:pStyle w:val="BodyText"/>
              <w:widowControl w:val="0"/>
              <w:spacing w:after="0"/>
              <w:jc w:val="center"/>
              <w:rPr>
                <w:b/>
                <w:sz w:val="20"/>
                <w:vertAlign w:val="superscript"/>
              </w:rPr>
            </w:pPr>
            <w:r w:rsidRPr="00176D3D">
              <w:rPr>
                <w:b/>
                <w:sz w:val="20"/>
              </w:rPr>
              <w:t>PM</w:t>
            </w:r>
            <w:r>
              <w:rPr>
                <w:b/>
                <w:sz w:val="20"/>
                <w:vertAlign w:val="superscript"/>
              </w:rPr>
              <w:t>d</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0.165/0.01</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97.46/5.89</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0.0019/0.0057</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1.12/3.36</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-96.3</w:t>
            </w:r>
            <w:r w:rsidR="00061F31">
              <w:t>4</w:t>
            </w:r>
            <w:r>
              <w:t>/-2.53</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Pr="00176D3D" w:rsidRDefault="0040333E" w:rsidP="00340A62">
            <w:pPr>
              <w:pStyle w:val="BodyText"/>
              <w:widowControl w:val="0"/>
              <w:spacing w:after="0"/>
              <w:jc w:val="center"/>
              <w:rPr>
                <w:b/>
                <w:sz w:val="20"/>
              </w:rPr>
            </w:pPr>
            <w:r w:rsidRPr="00176D3D">
              <w:rPr>
                <w:b/>
                <w:sz w:val="20"/>
              </w:rPr>
              <w:t>SO</w:t>
            </w:r>
            <w:r w:rsidRPr="00176D3D">
              <w:rPr>
                <w:b/>
                <w:sz w:val="20"/>
                <w:vertAlign w:val="subscript"/>
              </w:rPr>
              <w:t>2</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2.46</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1449.01</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0.0006</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0.35</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-1448.66</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Pr="00176D3D" w:rsidRDefault="0040333E" w:rsidP="00340A62">
            <w:pPr>
              <w:pStyle w:val="BodyText"/>
              <w:widowControl w:val="0"/>
              <w:spacing w:after="0"/>
              <w:jc w:val="center"/>
              <w:rPr>
                <w:b/>
                <w:sz w:val="20"/>
              </w:rPr>
            </w:pPr>
            <w:r w:rsidRPr="00176D3D">
              <w:rPr>
                <w:b/>
                <w:sz w:val="20"/>
              </w:rPr>
              <w:t>VOC</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0.0019</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1.10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0.0055</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Pr="00FE4F06" w:rsidRDefault="0040333E" w:rsidP="00340A62">
            <w:pPr>
              <w:autoSpaceDE w:val="0"/>
              <w:autoSpaceDN w:val="0"/>
              <w:adjustRightInd w:val="0"/>
              <w:jc w:val="center"/>
            </w:pPr>
            <w:r>
              <w:t>3.24</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Pr="00FE4F06" w:rsidRDefault="0040333E" w:rsidP="00340A62">
            <w:pPr>
              <w:autoSpaceDE w:val="0"/>
              <w:autoSpaceDN w:val="0"/>
              <w:adjustRightInd w:val="0"/>
              <w:jc w:val="center"/>
            </w:pPr>
            <w:r>
              <w:t>2.14</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Pr="00176D3D" w:rsidRDefault="0040333E" w:rsidP="00340A62">
            <w:pPr>
              <w:pStyle w:val="BodyText"/>
              <w:widowControl w:val="0"/>
              <w:spacing w:after="0"/>
              <w:jc w:val="center"/>
              <w:rPr>
                <w:b/>
                <w:sz w:val="20"/>
              </w:rPr>
            </w:pPr>
            <w:r>
              <w:rPr>
                <w:b/>
                <w:sz w:val="20"/>
              </w:rPr>
              <w:t>SAM</w:t>
            </w:r>
            <w:r>
              <w:rPr>
                <w:b/>
                <w:sz w:val="20"/>
                <w:vertAlign w:val="superscript"/>
              </w:rPr>
              <w:t>e</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0.09</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52.61</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-52.61</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pStyle w:val="BodyText"/>
              <w:widowControl w:val="0"/>
              <w:spacing w:after="0"/>
              <w:jc w:val="center"/>
              <w:rPr>
                <w:b/>
                <w:sz w:val="20"/>
              </w:rPr>
            </w:pPr>
            <w:r>
              <w:rPr>
                <w:b/>
                <w:sz w:val="20"/>
              </w:rPr>
              <w:t>Lead</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0.1 x 10</w:t>
            </w:r>
            <w:r w:rsidRPr="006B6C47">
              <w:rPr>
                <w:vertAlign w:val="superscript"/>
              </w:rPr>
              <w:t>4</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0.006</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0.5 x 10</w:t>
            </w:r>
            <w:r w:rsidRPr="006B6C47">
              <w:rPr>
                <w:vertAlign w:val="superscript"/>
              </w:rPr>
              <w:t>6</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0.0003</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-0.0057</w:t>
            </w:r>
          </w:p>
        </w:tc>
      </w:tr>
      <w:tr w:rsidR="0040333E" w:rsidRPr="00754AF9" w:rsidTr="00B06B66">
        <w:tc>
          <w:tcPr>
            <w:tcW w:w="108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pStyle w:val="BodyText"/>
              <w:widowControl w:val="0"/>
              <w:spacing w:after="0"/>
              <w:jc w:val="center"/>
              <w:rPr>
                <w:b/>
                <w:sz w:val="20"/>
              </w:rPr>
            </w:pPr>
            <w:r>
              <w:rPr>
                <w:b/>
                <w:sz w:val="20"/>
              </w:rPr>
              <w:t>Mercury</w:t>
            </w:r>
          </w:p>
        </w:tc>
        <w:tc>
          <w:tcPr>
            <w:tcW w:w="162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1,178,220</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0.8 x 10</w:t>
            </w:r>
            <w:r w:rsidRPr="006B6C47">
              <w:rPr>
                <w:vertAlign w:val="superscript"/>
              </w:rPr>
              <w:t>6</w:t>
            </w:r>
          </w:p>
        </w:tc>
        <w:tc>
          <w:tcPr>
            <w:tcW w:w="1440" w:type="dxa"/>
            <w:tcBorders>
              <w:top w:val="single" w:sz="8" w:space="0" w:color="000000"/>
              <w:left w:val="single" w:sz="8"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0.0004</w:t>
            </w:r>
          </w:p>
        </w:tc>
        <w:tc>
          <w:tcPr>
            <w:tcW w:w="1620" w:type="dxa"/>
            <w:tcBorders>
              <w:top w:val="single" w:sz="8" w:space="0" w:color="000000"/>
              <w:left w:val="single" w:sz="12"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0.26 x 10</w:t>
            </w:r>
            <w:r w:rsidRPr="006B6C47">
              <w:rPr>
                <w:vertAlign w:val="superscript"/>
              </w:rPr>
              <w:t>6</w:t>
            </w:r>
          </w:p>
        </w:tc>
        <w:tc>
          <w:tcPr>
            <w:tcW w:w="1530" w:type="dxa"/>
            <w:tcBorders>
              <w:top w:val="single" w:sz="8" w:space="0" w:color="000000"/>
              <w:left w:val="single" w:sz="8" w:space="0" w:color="000000"/>
              <w:bottom w:val="single" w:sz="8" w:space="0" w:color="000000"/>
              <w:right w:val="single" w:sz="8" w:space="0" w:color="000000"/>
            </w:tcBorders>
            <w:vAlign w:val="center"/>
          </w:tcPr>
          <w:p w:rsidR="0040333E" w:rsidRDefault="0040333E" w:rsidP="00340A62">
            <w:pPr>
              <w:autoSpaceDE w:val="0"/>
              <w:autoSpaceDN w:val="0"/>
              <w:adjustRightInd w:val="0"/>
              <w:jc w:val="center"/>
            </w:pPr>
            <w:r>
              <w:t>0.0002</w:t>
            </w:r>
          </w:p>
        </w:tc>
        <w:tc>
          <w:tcPr>
            <w:tcW w:w="1260" w:type="dxa"/>
            <w:tcBorders>
              <w:top w:val="single" w:sz="8" w:space="0" w:color="000000"/>
              <w:left w:val="single" w:sz="12" w:space="0" w:color="000000"/>
              <w:bottom w:val="single" w:sz="8" w:space="0" w:color="000000"/>
              <w:right w:val="single" w:sz="12" w:space="0" w:color="000000"/>
            </w:tcBorders>
            <w:vAlign w:val="center"/>
          </w:tcPr>
          <w:p w:rsidR="0040333E" w:rsidRDefault="0040333E" w:rsidP="00340A62">
            <w:pPr>
              <w:autoSpaceDE w:val="0"/>
              <w:autoSpaceDN w:val="0"/>
              <w:adjustRightInd w:val="0"/>
              <w:jc w:val="center"/>
            </w:pPr>
            <w:r>
              <w:t>-0.0002</w:t>
            </w:r>
          </w:p>
        </w:tc>
      </w:tr>
      <w:tr w:rsidR="00B561BC" w:rsidRPr="00754AF9" w:rsidTr="006403EC">
        <w:tc>
          <w:tcPr>
            <w:tcW w:w="10170" w:type="dxa"/>
            <w:gridSpan w:val="7"/>
            <w:tcBorders>
              <w:top w:val="single" w:sz="12" w:space="0" w:color="000000"/>
              <w:left w:val="single" w:sz="12" w:space="0" w:color="000000"/>
              <w:bottom w:val="single" w:sz="12" w:space="0" w:color="000000"/>
              <w:right w:val="single" w:sz="12" w:space="0" w:color="000000"/>
            </w:tcBorders>
          </w:tcPr>
          <w:p w:rsidR="00B06B66" w:rsidRDefault="00B06B66" w:rsidP="00741DB9">
            <w:pPr>
              <w:numPr>
                <w:ilvl w:val="0"/>
                <w:numId w:val="10"/>
              </w:numPr>
              <w:autoSpaceDE w:val="0"/>
              <w:autoSpaceDN w:val="0"/>
              <w:adjustRightInd w:val="0"/>
              <w:spacing w:after="20"/>
              <w:ind w:left="360"/>
              <w:rPr>
                <w:sz w:val="18"/>
                <w:szCs w:val="18"/>
              </w:rPr>
            </w:pPr>
            <w:r>
              <w:rPr>
                <w:sz w:val="18"/>
                <w:szCs w:val="18"/>
              </w:rPr>
              <w:t>The maximum permitted heat input rate to the No. 4 Recovery Boiler from firing oil or natural gas.</w:t>
            </w:r>
          </w:p>
          <w:p w:rsidR="00B561BC" w:rsidRPr="00275F4F" w:rsidRDefault="00061F31" w:rsidP="00741DB9">
            <w:pPr>
              <w:numPr>
                <w:ilvl w:val="0"/>
                <w:numId w:val="10"/>
              </w:numPr>
              <w:autoSpaceDE w:val="0"/>
              <w:autoSpaceDN w:val="0"/>
              <w:adjustRightInd w:val="0"/>
              <w:spacing w:after="20"/>
              <w:ind w:left="360"/>
              <w:rPr>
                <w:sz w:val="18"/>
                <w:szCs w:val="18"/>
              </w:rPr>
            </w:pPr>
            <w:r w:rsidRPr="00061F31">
              <w:rPr>
                <w:sz w:val="18"/>
                <w:szCs w:val="18"/>
              </w:rPr>
              <w:t>U.S.</w:t>
            </w:r>
            <w:r>
              <w:rPr>
                <w:sz w:val="22"/>
                <w:szCs w:val="22"/>
              </w:rPr>
              <w:t xml:space="preserve"> </w:t>
            </w:r>
            <w:r>
              <w:rPr>
                <w:sz w:val="18"/>
                <w:szCs w:val="18"/>
              </w:rPr>
              <w:t xml:space="preserve">EPA </w:t>
            </w:r>
            <w:r w:rsidR="00B561BC" w:rsidRPr="00275F4F">
              <w:rPr>
                <w:sz w:val="18"/>
                <w:szCs w:val="18"/>
              </w:rPr>
              <w:t>AP-42, Chapter 1.3 emission factors for fuel oil combustion divided by the No. 6 fuel oil heating value of 150 MMBtu/10</w:t>
            </w:r>
            <w:r w:rsidR="00B561BC" w:rsidRPr="00275F4F">
              <w:rPr>
                <w:sz w:val="18"/>
                <w:szCs w:val="18"/>
                <w:vertAlign w:val="superscript"/>
              </w:rPr>
              <w:t>3</w:t>
            </w:r>
            <w:r w:rsidR="00B561BC" w:rsidRPr="00275F4F">
              <w:rPr>
                <w:sz w:val="18"/>
                <w:szCs w:val="18"/>
              </w:rPr>
              <w:t xml:space="preserve"> gallons.</w:t>
            </w:r>
          </w:p>
          <w:p w:rsidR="00B561BC" w:rsidRPr="00275F4F" w:rsidRDefault="00061F31" w:rsidP="00741DB9">
            <w:pPr>
              <w:numPr>
                <w:ilvl w:val="0"/>
                <w:numId w:val="10"/>
              </w:numPr>
              <w:autoSpaceDE w:val="0"/>
              <w:autoSpaceDN w:val="0"/>
              <w:adjustRightInd w:val="0"/>
              <w:spacing w:after="20"/>
              <w:ind w:left="360"/>
              <w:rPr>
                <w:sz w:val="18"/>
                <w:szCs w:val="18"/>
              </w:rPr>
            </w:pPr>
            <w:r w:rsidRPr="00061F31">
              <w:rPr>
                <w:sz w:val="18"/>
                <w:szCs w:val="18"/>
              </w:rPr>
              <w:t>U.S.</w:t>
            </w:r>
            <w:r>
              <w:rPr>
                <w:sz w:val="22"/>
                <w:szCs w:val="22"/>
              </w:rPr>
              <w:t xml:space="preserve"> </w:t>
            </w:r>
            <w:r>
              <w:rPr>
                <w:sz w:val="18"/>
                <w:szCs w:val="18"/>
              </w:rPr>
              <w:t xml:space="preserve">EPA </w:t>
            </w:r>
            <w:r w:rsidR="00B561BC" w:rsidRPr="00275F4F">
              <w:rPr>
                <w:sz w:val="18"/>
                <w:szCs w:val="18"/>
              </w:rPr>
              <w:t>AP-42, Chapter 1.4 emission factors for natural gas combustion divided by the natural gas heating value of 1000 MMBtu/10</w:t>
            </w:r>
            <w:r w:rsidR="00B561BC" w:rsidRPr="00275F4F">
              <w:rPr>
                <w:sz w:val="18"/>
                <w:szCs w:val="18"/>
                <w:vertAlign w:val="superscript"/>
              </w:rPr>
              <w:t>6</w:t>
            </w:r>
            <w:r w:rsidR="00B561BC" w:rsidRPr="00275F4F">
              <w:rPr>
                <w:sz w:val="18"/>
                <w:szCs w:val="18"/>
              </w:rPr>
              <w:t xml:space="preserve"> standard cubic feet (scf).</w:t>
            </w:r>
          </w:p>
          <w:p w:rsidR="00B561BC" w:rsidRPr="00275F4F" w:rsidRDefault="00B561BC" w:rsidP="00741DB9">
            <w:pPr>
              <w:numPr>
                <w:ilvl w:val="0"/>
                <w:numId w:val="10"/>
              </w:numPr>
              <w:autoSpaceDE w:val="0"/>
              <w:autoSpaceDN w:val="0"/>
              <w:adjustRightInd w:val="0"/>
              <w:spacing w:after="20"/>
              <w:ind w:left="360"/>
              <w:rPr>
                <w:sz w:val="18"/>
                <w:szCs w:val="18"/>
              </w:rPr>
            </w:pPr>
            <w:r w:rsidRPr="00275F4F">
              <w:rPr>
                <w:sz w:val="18"/>
                <w:szCs w:val="18"/>
              </w:rPr>
              <w:t>Filterable/Condensable.  All condensable PM is assumed to be less than 1.0 micron in diameter.</w:t>
            </w:r>
          </w:p>
          <w:p w:rsidR="00B561BC" w:rsidRPr="00275F4F" w:rsidRDefault="00B06B66" w:rsidP="00741DB9">
            <w:pPr>
              <w:numPr>
                <w:ilvl w:val="0"/>
                <w:numId w:val="10"/>
              </w:numPr>
              <w:autoSpaceDE w:val="0"/>
              <w:autoSpaceDN w:val="0"/>
              <w:adjustRightInd w:val="0"/>
              <w:spacing w:after="20"/>
              <w:ind w:left="360"/>
              <w:rPr>
                <w:sz w:val="22"/>
                <w:szCs w:val="22"/>
              </w:rPr>
            </w:pPr>
            <w:r>
              <w:rPr>
                <w:sz w:val="18"/>
                <w:szCs w:val="18"/>
              </w:rPr>
              <w:t>Determined as s</w:t>
            </w:r>
            <w:r w:rsidR="00B561BC" w:rsidRPr="00275F4F">
              <w:rPr>
                <w:sz w:val="18"/>
                <w:szCs w:val="18"/>
              </w:rPr>
              <w:t xml:space="preserve">ulfur </w:t>
            </w:r>
            <w:r>
              <w:rPr>
                <w:sz w:val="18"/>
                <w:szCs w:val="18"/>
              </w:rPr>
              <w:t>t</w:t>
            </w:r>
            <w:r w:rsidR="00B561BC" w:rsidRPr="00275F4F">
              <w:rPr>
                <w:sz w:val="18"/>
                <w:szCs w:val="18"/>
              </w:rPr>
              <w:t>rioxide (SO</w:t>
            </w:r>
            <w:r w:rsidR="00B561BC" w:rsidRPr="00275F4F">
              <w:rPr>
                <w:sz w:val="18"/>
                <w:szCs w:val="18"/>
                <w:vertAlign w:val="superscript"/>
              </w:rPr>
              <w:t>3</w:t>
            </w:r>
            <w:r w:rsidR="00B561BC" w:rsidRPr="00275F4F">
              <w:rPr>
                <w:sz w:val="18"/>
                <w:szCs w:val="18"/>
              </w:rPr>
              <w:t>)</w:t>
            </w:r>
            <w:r w:rsidR="0028197A">
              <w:rPr>
                <w:sz w:val="18"/>
                <w:szCs w:val="18"/>
              </w:rPr>
              <w:t xml:space="preserve"> in AP-42, Chapter 1.3 for combustion of fuel oil</w:t>
            </w:r>
            <w:r w:rsidR="009A253F">
              <w:rPr>
                <w:sz w:val="18"/>
                <w:szCs w:val="18"/>
              </w:rPr>
              <w:t>.  N</w:t>
            </w:r>
            <w:r w:rsidR="0028197A">
              <w:rPr>
                <w:sz w:val="18"/>
                <w:szCs w:val="18"/>
              </w:rPr>
              <w:t>o emission factor is given for natural gas combustion in AP-42, Chapter 1.4 for SO</w:t>
            </w:r>
            <w:r w:rsidR="0028197A" w:rsidRPr="0028197A">
              <w:rPr>
                <w:sz w:val="18"/>
                <w:szCs w:val="18"/>
                <w:vertAlign w:val="subscript"/>
              </w:rPr>
              <w:t>3</w:t>
            </w:r>
            <w:r w:rsidR="0028197A">
              <w:rPr>
                <w:sz w:val="18"/>
                <w:szCs w:val="18"/>
              </w:rPr>
              <w:t>.</w:t>
            </w:r>
          </w:p>
        </w:tc>
      </w:tr>
    </w:tbl>
    <w:p w:rsidR="0040333E" w:rsidRDefault="0040333E" w:rsidP="0040333E">
      <w:pPr>
        <w:autoSpaceDE w:val="0"/>
        <w:autoSpaceDN w:val="0"/>
        <w:adjustRightInd w:val="0"/>
        <w:spacing w:before="120" w:after="120"/>
        <w:rPr>
          <w:sz w:val="22"/>
          <w:szCs w:val="22"/>
        </w:rPr>
      </w:pPr>
      <w:r w:rsidRPr="00FB0B70">
        <w:rPr>
          <w:sz w:val="22"/>
          <w:szCs w:val="22"/>
        </w:rPr>
        <w:t xml:space="preserve">As shown in </w:t>
      </w:r>
      <w:r>
        <w:rPr>
          <w:sz w:val="22"/>
          <w:szCs w:val="22"/>
        </w:rPr>
        <w:t xml:space="preserve">Table </w:t>
      </w:r>
      <w:r w:rsidR="005F3A6D">
        <w:rPr>
          <w:sz w:val="22"/>
          <w:szCs w:val="22"/>
        </w:rPr>
        <w:t>3</w:t>
      </w:r>
      <w:r>
        <w:rPr>
          <w:sz w:val="22"/>
          <w:szCs w:val="22"/>
        </w:rPr>
        <w:t>, the burning of natural gas alone will result in lower annual emissions of NO</w:t>
      </w:r>
      <w:r w:rsidRPr="00AB32EC">
        <w:rPr>
          <w:sz w:val="22"/>
          <w:szCs w:val="22"/>
          <w:vertAlign w:val="subscript"/>
        </w:rPr>
        <w:t>X</w:t>
      </w:r>
      <w:r>
        <w:rPr>
          <w:sz w:val="22"/>
          <w:szCs w:val="22"/>
        </w:rPr>
        <w:t>, PM, SO</w:t>
      </w:r>
      <w:r w:rsidRPr="00322600">
        <w:rPr>
          <w:sz w:val="22"/>
          <w:szCs w:val="22"/>
          <w:vertAlign w:val="subscript"/>
        </w:rPr>
        <w:t>2</w:t>
      </w:r>
      <w:r w:rsidR="00A25A79">
        <w:rPr>
          <w:sz w:val="22"/>
          <w:szCs w:val="22"/>
        </w:rPr>
        <w:t>,</w:t>
      </w:r>
      <w:r>
        <w:rPr>
          <w:sz w:val="22"/>
          <w:szCs w:val="22"/>
        </w:rPr>
        <w:t xml:space="preserve"> SAM</w:t>
      </w:r>
      <w:r w:rsidR="00A25A79">
        <w:rPr>
          <w:sz w:val="22"/>
          <w:szCs w:val="22"/>
        </w:rPr>
        <w:t>, lead and mercury</w:t>
      </w:r>
      <w:r>
        <w:rPr>
          <w:sz w:val="22"/>
          <w:szCs w:val="22"/>
        </w:rPr>
        <w:t>.  CO and VOC showed an increase in annual emissions of 29.8</w:t>
      </w:r>
      <w:r w:rsidR="00061F31">
        <w:rPr>
          <w:sz w:val="22"/>
          <w:szCs w:val="22"/>
        </w:rPr>
        <w:t>4</w:t>
      </w:r>
      <w:r>
        <w:rPr>
          <w:sz w:val="22"/>
          <w:szCs w:val="22"/>
        </w:rPr>
        <w:t xml:space="preserve"> tons/year and 2.14 tons/year respectively, which is below </w:t>
      </w:r>
      <w:r>
        <w:rPr>
          <w:sz w:val="22"/>
        </w:rPr>
        <w:t>the PSD significant emissions rates</w:t>
      </w:r>
      <w:r>
        <w:rPr>
          <w:sz w:val="22"/>
          <w:szCs w:val="22"/>
        </w:rPr>
        <w:t xml:space="preserve"> of 100 tons/year (CO) and 40 tons/year (VOC).  </w:t>
      </w:r>
    </w:p>
    <w:p w:rsidR="0040333E" w:rsidRDefault="0040333E" w:rsidP="0040333E">
      <w:pPr>
        <w:autoSpaceDE w:val="0"/>
        <w:autoSpaceDN w:val="0"/>
        <w:adjustRightInd w:val="0"/>
        <w:spacing w:before="120" w:after="120"/>
        <w:rPr>
          <w:sz w:val="22"/>
          <w:szCs w:val="22"/>
        </w:rPr>
      </w:pPr>
      <w:r w:rsidRPr="00035077">
        <w:rPr>
          <w:sz w:val="22"/>
          <w:szCs w:val="22"/>
        </w:rPr>
        <w:t>In determining NO</w:t>
      </w:r>
      <w:r w:rsidRPr="00E05FF8">
        <w:rPr>
          <w:sz w:val="22"/>
          <w:szCs w:val="22"/>
          <w:vertAlign w:val="subscript"/>
        </w:rPr>
        <w:t>X</w:t>
      </w:r>
      <w:r w:rsidRPr="00035077">
        <w:rPr>
          <w:sz w:val="22"/>
          <w:szCs w:val="22"/>
        </w:rPr>
        <w:t xml:space="preserve"> emissions</w:t>
      </w:r>
      <w:r>
        <w:rPr>
          <w:sz w:val="22"/>
          <w:szCs w:val="22"/>
        </w:rPr>
        <w:t xml:space="preserve">, the Department used </w:t>
      </w:r>
      <w:r>
        <w:rPr>
          <w:sz w:val="22"/>
        </w:rPr>
        <w:t xml:space="preserve">EPA’s AP-42 emission factors (Chapter 1.4, Table 1.4.1) </w:t>
      </w:r>
      <w:r w:rsidR="00833A25">
        <w:rPr>
          <w:sz w:val="22"/>
        </w:rPr>
        <w:t xml:space="preserve">that </w:t>
      </w:r>
      <w:r>
        <w:rPr>
          <w:sz w:val="22"/>
        </w:rPr>
        <w:t xml:space="preserve">a pre-NSPS natural gas fired boiler would have </w:t>
      </w:r>
      <w:r w:rsidR="00833A25">
        <w:rPr>
          <w:sz w:val="22"/>
        </w:rPr>
        <w:t xml:space="preserve">for </w:t>
      </w:r>
      <w:r>
        <w:rPr>
          <w:sz w:val="22"/>
        </w:rPr>
        <w:t>an uncontrolled NO</w:t>
      </w:r>
      <w:r w:rsidRPr="00754183">
        <w:rPr>
          <w:sz w:val="22"/>
          <w:vertAlign w:val="subscript"/>
        </w:rPr>
        <w:t>X</w:t>
      </w:r>
      <w:r>
        <w:rPr>
          <w:sz w:val="22"/>
        </w:rPr>
        <w:t xml:space="preserve"> emission rate of approximately </w:t>
      </w:r>
      <w:r w:rsidRPr="00035077">
        <w:rPr>
          <w:sz w:val="22"/>
          <w:szCs w:val="22"/>
        </w:rPr>
        <w:t xml:space="preserve">280 </w:t>
      </w:r>
      <w:r w:rsidR="005F3A6D">
        <w:rPr>
          <w:sz w:val="22"/>
          <w:szCs w:val="22"/>
        </w:rPr>
        <w:t>pounds per mi</w:t>
      </w:r>
      <w:r w:rsidR="00E223B2">
        <w:rPr>
          <w:sz w:val="22"/>
          <w:szCs w:val="22"/>
        </w:rPr>
        <w:t>llion standard cubic feet (lb/</w:t>
      </w:r>
      <w:proofErr w:type="spellStart"/>
      <w:r w:rsidR="00E223B2">
        <w:rPr>
          <w:sz w:val="22"/>
          <w:szCs w:val="22"/>
        </w:rPr>
        <w:t>MM</w:t>
      </w:r>
      <w:r w:rsidR="005F3A6D">
        <w:rPr>
          <w:sz w:val="22"/>
          <w:szCs w:val="22"/>
        </w:rPr>
        <w:t>scf</w:t>
      </w:r>
      <w:proofErr w:type="spellEnd"/>
      <w:r w:rsidR="005F3A6D">
        <w:rPr>
          <w:sz w:val="22"/>
          <w:szCs w:val="22"/>
        </w:rPr>
        <w:t xml:space="preserve">) </w:t>
      </w:r>
      <w:r w:rsidRPr="00035077">
        <w:rPr>
          <w:sz w:val="22"/>
          <w:szCs w:val="22"/>
        </w:rPr>
        <w:t>(equivalent to 0.28 lb</w:t>
      </w:r>
      <w:r w:rsidR="005F3A6D" w:rsidRPr="005F3A6D">
        <w:rPr>
          <w:sz w:val="22"/>
          <w:szCs w:val="22"/>
        </w:rPr>
        <w:t xml:space="preserve"> </w:t>
      </w:r>
      <w:r w:rsidR="005F3A6D">
        <w:rPr>
          <w:sz w:val="22"/>
          <w:szCs w:val="22"/>
        </w:rPr>
        <w:t>NO</w:t>
      </w:r>
      <w:r w:rsidR="005F3A6D" w:rsidRPr="005F3A6D">
        <w:rPr>
          <w:sz w:val="22"/>
          <w:szCs w:val="22"/>
          <w:vertAlign w:val="subscript"/>
        </w:rPr>
        <w:t>X</w:t>
      </w:r>
      <w:r w:rsidR="005F3A6D">
        <w:rPr>
          <w:sz w:val="22"/>
          <w:szCs w:val="22"/>
        </w:rPr>
        <w:t xml:space="preserve"> </w:t>
      </w:r>
      <w:r w:rsidRPr="00035077">
        <w:rPr>
          <w:sz w:val="22"/>
          <w:szCs w:val="22"/>
        </w:rPr>
        <w:t>/MMBtu</w:t>
      </w:r>
      <w:r w:rsidR="00833A25">
        <w:rPr>
          <w:sz w:val="22"/>
          <w:szCs w:val="22"/>
        </w:rPr>
        <w:t xml:space="preserve"> and 164.95 tons/year</w:t>
      </w:r>
      <w:r w:rsidRPr="00035077">
        <w:rPr>
          <w:sz w:val="22"/>
          <w:szCs w:val="22"/>
        </w:rPr>
        <w:t>)</w:t>
      </w:r>
      <w:r>
        <w:rPr>
          <w:sz w:val="22"/>
        </w:rPr>
        <w:t>.  In comparison</w:t>
      </w:r>
      <w:r w:rsidR="00833A25">
        <w:rPr>
          <w:sz w:val="22"/>
        </w:rPr>
        <w:t>,</w:t>
      </w:r>
      <w:r>
        <w:rPr>
          <w:sz w:val="22"/>
        </w:rPr>
        <w:t xml:space="preserve"> the NO</w:t>
      </w:r>
      <w:r w:rsidRPr="00F61D14">
        <w:rPr>
          <w:sz w:val="22"/>
          <w:vertAlign w:val="subscript"/>
        </w:rPr>
        <w:t>X</w:t>
      </w:r>
      <w:r>
        <w:rPr>
          <w:sz w:val="22"/>
        </w:rPr>
        <w:t xml:space="preserve"> emission factor </w:t>
      </w:r>
      <w:r w:rsidR="00002887">
        <w:rPr>
          <w:sz w:val="22"/>
        </w:rPr>
        <w:t xml:space="preserve">guaranteed </w:t>
      </w:r>
      <w:r>
        <w:rPr>
          <w:sz w:val="22"/>
        </w:rPr>
        <w:t>by the vendor</w:t>
      </w:r>
      <w:r w:rsidR="00002887">
        <w:rPr>
          <w:sz w:val="22"/>
        </w:rPr>
        <w:t xml:space="preserve"> </w:t>
      </w:r>
      <w:r>
        <w:rPr>
          <w:sz w:val="22"/>
        </w:rPr>
        <w:t xml:space="preserve">of 150 </w:t>
      </w:r>
      <w:r w:rsidRPr="00035077">
        <w:rPr>
          <w:sz w:val="22"/>
          <w:szCs w:val="22"/>
        </w:rPr>
        <w:t>lb/</w:t>
      </w:r>
      <w:r w:rsidR="00833A25">
        <w:rPr>
          <w:sz w:val="22"/>
          <w:szCs w:val="22"/>
        </w:rPr>
        <w:t>MM</w:t>
      </w:r>
      <w:r w:rsidR="005F3A6D">
        <w:rPr>
          <w:sz w:val="22"/>
          <w:szCs w:val="22"/>
        </w:rPr>
        <w:t>scf</w:t>
      </w:r>
      <w:r w:rsidRPr="00035077">
        <w:rPr>
          <w:sz w:val="22"/>
          <w:szCs w:val="22"/>
        </w:rPr>
        <w:t xml:space="preserve"> (equivalent to 0.</w:t>
      </w:r>
      <w:r>
        <w:rPr>
          <w:sz w:val="22"/>
          <w:szCs w:val="22"/>
        </w:rPr>
        <w:t>15</w:t>
      </w:r>
      <w:r w:rsidRPr="00035077">
        <w:rPr>
          <w:sz w:val="22"/>
          <w:szCs w:val="22"/>
        </w:rPr>
        <w:t xml:space="preserve"> lb</w:t>
      </w:r>
      <w:r w:rsidR="005F3A6D">
        <w:rPr>
          <w:sz w:val="22"/>
          <w:szCs w:val="22"/>
        </w:rPr>
        <w:t xml:space="preserve"> NO</w:t>
      </w:r>
      <w:r w:rsidR="005F3A6D" w:rsidRPr="005F3A6D">
        <w:rPr>
          <w:sz w:val="22"/>
          <w:szCs w:val="22"/>
          <w:vertAlign w:val="subscript"/>
        </w:rPr>
        <w:t>X</w:t>
      </w:r>
      <w:r w:rsidRPr="00035077">
        <w:rPr>
          <w:sz w:val="22"/>
          <w:szCs w:val="22"/>
        </w:rPr>
        <w:t>/MMBtu</w:t>
      </w:r>
      <w:r>
        <w:rPr>
          <w:sz w:val="22"/>
          <w:szCs w:val="22"/>
        </w:rPr>
        <w:t xml:space="preserve">) </w:t>
      </w:r>
      <w:r>
        <w:rPr>
          <w:sz w:val="22"/>
        </w:rPr>
        <w:t>would result in annual NO</w:t>
      </w:r>
      <w:r w:rsidRPr="005963C4">
        <w:rPr>
          <w:sz w:val="22"/>
          <w:vertAlign w:val="subscript"/>
        </w:rPr>
        <w:t>X</w:t>
      </w:r>
      <w:r>
        <w:rPr>
          <w:sz w:val="22"/>
        </w:rPr>
        <w:t xml:space="preserve"> emissions of 88.37 tons/year</w:t>
      </w:r>
      <w:r w:rsidR="001A4731">
        <w:rPr>
          <w:sz w:val="22"/>
        </w:rPr>
        <w:t>.  Based on the vendor guarantee</w:t>
      </w:r>
      <w:r>
        <w:rPr>
          <w:sz w:val="22"/>
        </w:rPr>
        <w:t xml:space="preserve">, </w:t>
      </w:r>
      <w:r w:rsidR="001A4731">
        <w:rPr>
          <w:sz w:val="22"/>
        </w:rPr>
        <w:t xml:space="preserve">this project would show a reduction </w:t>
      </w:r>
      <w:r w:rsidR="00833A25">
        <w:rPr>
          <w:sz w:val="22"/>
        </w:rPr>
        <w:t xml:space="preserve">(184.59 tons/year – 88.37 tons/year) </w:t>
      </w:r>
      <w:r w:rsidR="001A4731">
        <w:rPr>
          <w:sz w:val="22"/>
        </w:rPr>
        <w:t xml:space="preserve">of </w:t>
      </w:r>
      <w:r>
        <w:rPr>
          <w:sz w:val="22"/>
        </w:rPr>
        <w:t>NO</w:t>
      </w:r>
      <w:r w:rsidRPr="00D63BE8">
        <w:rPr>
          <w:sz w:val="22"/>
          <w:vertAlign w:val="subscript"/>
        </w:rPr>
        <w:t>X</w:t>
      </w:r>
      <w:r>
        <w:rPr>
          <w:sz w:val="22"/>
        </w:rPr>
        <w:t xml:space="preserve"> emissions </w:t>
      </w:r>
      <w:r w:rsidR="001A4731">
        <w:rPr>
          <w:sz w:val="22"/>
        </w:rPr>
        <w:t xml:space="preserve">of </w:t>
      </w:r>
      <w:r>
        <w:rPr>
          <w:sz w:val="22"/>
        </w:rPr>
        <w:t xml:space="preserve">96.22 tons/year.  </w:t>
      </w:r>
    </w:p>
    <w:p w:rsidR="0040333E" w:rsidRDefault="00AC5061" w:rsidP="0040333E">
      <w:pPr>
        <w:autoSpaceDE w:val="0"/>
        <w:autoSpaceDN w:val="0"/>
        <w:adjustRightInd w:val="0"/>
        <w:spacing w:before="120" w:after="120"/>
        <w:rPr>
          <w:sz w:val="22"/>
          <w:szCs w:val="22"/>
        </w:rPr>
      </w:pPr>
      <w:r w:rsidRPr="00F61D14">
        <w:rPr>
          <w:sz w:val="22"/>
          <w:szCs w:val="22"/>
        </w:rPr>
        <w:t xml:space="preserve">The Department recognizes that emissions from the No. 4 Recovery Boiler will be relatively low due it’s to firing clean natural gas.  </w:t>
      </w:r>
      <w:r w:rsidR="006030D2">
        <w:rPr>
          <w:sz w:val="22"/>
          <w:szCs w:val="22"/>
        </w:rPr>
        <w:t>Emissions of NO</w:t>
      </w:r>
      <w:r w:rsidR="006030D2" w:rsidRPr="006030D2">
        <w:rPr>
          <w:sz w:val="22"/>
          <w:szCs w:val="22"/>
          <w:vertAlign w:val="subscript"/>
        </w:rPr>
        <w:t>X</w:t>
      </w:r>
      <w:r w:rsidR="006030D2">
        <w:rPr>
          <w:sz w:val="22"/>
          <w:szCs w:val="22"/>
        </w:rPr>
        <w:t xml:space="preserve"> are controlled by a four-level overfire air system.  </w:t>
      </w:r>
      <w:r w:rsidR="00443DBA">
        <w:rPr>
          <w:sz w:val="22"/>
          <w:szCs w:val="22"/>
        </w:rPr>
        <w:t xml:space="preserve">Natural gas is a gaseous fuel; therefore PM emissions are low.  </w:t>
      </w:r>
      <w:r w:rsidR="00D2190A">
        <w:rPr>
          <w:sz w:val="22"/>
          <w:szCs w:val="22"/>
        </w:rPr>
        <w:t xml:space="preserve">The recovery boiler is </w:t>
      </w:r>
      <w:r w:rsidR="00833A25">
        <w:rPr>
          <w:sz w:val="22"/>
          <w:szCs w:val="22"/>
        </w:rPr>
        <w:t xml:space="preserve">also </w:t>
      </w:r>
      <w:r w:rsidR="00D2190A">
        <w:rPr>
          <w:sz w:val="22"/>
          <w:szCs w:val="22"/>
        </w:rPr>
        <w:t xml:space="preserve">equipped with an electrostatic precipitator to control emissions of PM.  </w:t>
      </w:r>
      <w:r w:rsidR="00443DBA">
        <w:rPr>
          <w:sz w:val="22"/>
          <w:szCs w:val="22"/>
        </w:rPr>
        <w:t>Sulfur is a significant component of fuel oils.  Natural gas contains only trace amounts of sulfur compounds; therefore, emissions of SO</w:t>
      </w:r>
      <w:r w:rsidR="00443DBA" w:rsidRPr="000A5382">
        <w:rPr>
          <w:sz w:val="22"/>
          <w:szCs w:val="22"/>
          <w:vertAlign w:val="subscript"/>
        </w:rPr>
        <w:t>2</w:t>
      </w:r>
      <w:r w:rsidR="00443DBA">
        <w:rPr>
          <w:sz w:val="22"/>
          <w:szCs w:val="22"/>
        </w:rPr>
        <w:t xml:space="preserve"> and SAM </w:t>
      </w:r>
      <w:r w:rsidR="00D2190A">
        <w:rPr>
          <w:sz w:val="22"/>
          <w:szCs w:val="22"/>
        </w:rPr>
        <w:t>are expected to</w:t>
      </w:r>
      <w:r w:rsidR="00443DBA">
        <w:rPr>
          <w:sz w:val="22"/>
          <w:szCs w:val="22"/>
        </w:rPr>
        <w:t xml:space="preserve"> </w:t>
      </w:r>
      <w:r w:rsidR="00033DB5">
        <w:rPr>
          <w:sz w:val="22"/>
          <w:szCs w:val="22"/>
        </w:rPr>
        <w:t>be significantly less than when firing fuel oil</w:t>
      </w:r>
      <w:r w:rsidR="00443DBA">
        <w:rPr>
          <w:sz w:val="22"/>
          <w:szCs w:val="22"/>
        </w:rPr>
        <w:t xml:space="preserve">.  </w:t>
      </w:r>
      <w:r w:rsidR="006030D2">
        <w:rPr>
          <w:sz w:val="22"/>
          <w:szCs w:val="22"/>
        </w:rPr>
        <w:t>Emissions of CO and VOC are controlled by combustion design and good operating practices.</w:t>
      </w:r>
      <w:r w:rsidR="00BF07D8">
        <w:rPr>
          <w:sz w:val="22"/>
          <w:szCs w:val="22"/>
        </w:rPr>
        <w:t xml:space="preserve">  A continuous emission monitoring system (CEMS) is used to monitor emissions of NO</w:t>
      </w:r>
      <w:r w:rsidR="00BF07D8" w:rsidRPr="00BF07D8">
        <w:rPr>
          <w:sz w:val="22"/>
          <w:szCs w:val="22"/>
          <w:vertAlign w:val="subscript"/>
        </w:rPr>
        <w:t>X</w:t>
      </w:r>
      <w:r w:rsidR="00BF07D8">
        <w:rPr>
          <w:sz w:val="22"/>
          <w:szCs w:val="22"/>
        </w:rPr>
        <w:t>, SO</w:t>
      </w:r>
      <w:r w:rsidR="00BF07D8" w:rsidRPr="00BF07D8">
        <w:rPr>
          <w:sz w:val="22"/>
          <w:szCs w:val="22"/>
          <w:vertAlign w:val="subscript"/>
        </w:rPr>
        <w:t>2</w:t>
      </w:r>
      <w:r w:rsidR="00BF07D8">
        <w:rPr>
          <w:sz w:val="22"/>
          <w:szCs w:val="22"/>
        </w:rPr>
        <w:t>, CO and TRS</w:t>
      </w:r>
      <w:r w:rsidR="00033DB5">
        <w:rPr>
          <w:sz w:val="22"/>
          <w:szCs w:val="22"/>
        </w:rPr>
        <w:t xml:space="preserve"> from the No. 4 Recovery Boiler</w:t>
      </w:r>
      <w:r w:rsidR="00BF07D8">
        <w:rPr>
          <w:sz w:val="22"/>
          <w:szCs w:val="22"/>
        </w:rPr>
        <w:t>.  Visible emissions are monitored with a continuous opacity monitoring system (COMS).</w:t>
      </w:r>
    </w:p>
    <w:p w:rsidR="006030D2" w:rsidRPr="006030D2" w:rsidRDefault="006030D2" w:rsidP="0040333E">
      <w:pPr>
        <w:autoSpaceDE w:val="0"/>
        <w:autoSpaceDN w:val="0"/>
        <w:adjustRightInd w:val="0"/>
        <w:spacing w:before="120" w:after="120"/>
        <w:rPr>
          <w:b/>
          <w:sz w:val="22"/>
          <w:szCs w:val="22"/>
        </w:rPr>
      </w:pPr>
      <w:r w:rsidRPr="006030D2">
        <w:rPr>
          <w:b/>
          <w:sz w:val="22"/>
          <w:szCs w:val="22"/>
        </w:rPr>
        <w:t xml:space="preserve">PSD </w:t>
      </w:r>
      <w:r w:rsidR="00033DB5">
        <w:rPr>
          <w:b/>
          <w:sz w:val="22"/>
          <w:szCs w:val="22"/>
        </w:rPr>
        <w:t>Applicability</w:t>
      </w:r>
    </w:p>
    <w:p w:rsidR="00D607BC" w:rsidRDefault="001A4731" w:rsidP="0040333E">
      <w:pPr>
        <w:autoSpaceDE w:val="0"/>
        <w:autoSpaceDN w:val="0"/>
        <w:adjustRightInd w:val="0"/>
        <w:spacing w:before="120" w:after="120"/>
        <w:rPr>
          <w:sz w:val="22"/>
          <w:szCs w:val="22"/>
        </w:rPr>
      </w:pPr>
      <w:r>
        <w:rPr>
          <w:sz w:val="22"/>
        </w:rPr>
        <w:t>In reviewing the submitted information</w:t>
      </w:r>
      <w:r w:rsidR="00A25A79">
        <w:rPr>
          <w:sz w:val="22"/>
        </w:rPr>
        <w:t xml:space="preserve"> provided by the applicant</w:t>
      </w:r>
      <w:r>
        <w:rPr>
          <w:sz w:val="22"/>
        </w:rPr>
        <w:t xml:space="preserve">, </w:t>
      </w:r>
      <w:r w:rsidR="00433878">
        <w:rPr>
          <w:sz w:val="22"/>
        </w:rPr>
        <w:t xml:space="preserve">the Department is aware that </w:t>
      </w:r>
      <w:r>
        <w:rPr>
          <w:sz w:val="22"/>
        </w:rPr>
        <w:t xml:space="preserve">the emission increases </w:t>
      </w:r>
      <w:r w:rsidR="00443DBA">
        <w:rPr>
          <w:sz w:val="22"/>
        </w:rPr>
        <w:t xml:space="preserve">for CO, </w:t>
      </w:r>
      <w:r w:rsidR="00433878">
        <w:rPr>
          <w:sz w:val="22"/>
        </w:rPr>
        <w:t>NO</w:t>
      </w:r>
      <w:r w:rsidR="00433878" w:rsidRPr="00443DBA">
        <w:rPr>
          <w:sz w:val="22"/>
          <w:vertAlign w:val="subscript"/>
        </w:rPr>
        <w:t>X</w:t>
      </w:r>
      <w:r w:rsidR="00433878">
        <w:rPr>
          <w:sz w:val="22"/>
        </w:rPr>
        <w:t xml:space="preserve">, </w:t>
      </w:r>
      <w:r w:rsidR="00443DBA">
        <w:rPr>
          <w:sz w:val="22"/>
        </w:rPr>
        <w:t xml:space="preserve">VOC and </w:t>
      </w:r>
      <w:r w:rsidR="00433878">
        <w:rPr>
          <w:sz w:val="22"/>
        </w:rPr>
        <w:t>mercury</w:t>
      </w:r>
      <w:r w:rsidR="00443DBA">
        <w:rPr>
          <w:sz w:val="22"/>
        </w:rPr>
        <w:t xml:space="preserve"> </w:t>
      </w:r>
      <w:r>
        <w:rPr>
          <w:sz w:val="22"/>
        </w:rPr>
        <w:t xml:space="preserve">are predicted to be below the PSD significant emission rates.  </w:t>
      </w:r>
      <w:r w:rsidR="00AF3E7C" w:rsidRPr="00666D89">
        <w:rPr>
          <w:sz w:val="22"/>
          <w:szCs w:val="22"/>
        </w:rPr>
        <w:t>The applicants PSD analysis compared baseline actual emissions with projected actual emissions.</w:t>
      </w:r>
      <w:r w:rsidR="00AF3E7C">
        <w:rPr>
          <w:sz w:val="22"/>
          <w:szCs w:val="22"/>
        </w:rPr>
        <w:t xml:space="preserve">  </w:t>
      </w:r>
      <w:r w:rsidR="00D607BC">
        <w:rPr>
          <w:sz w:val="22"/>
          <w:szCs w:val="22"/>
        </w:rPr>
        <w:t xml:space="preserve">The analysis shows the change in emissions </w:t>
      </w:r>
      <w:r w:rsidR="00C712B1">
        <w:rPr>
          <w:sz w:val="22"/>
          <w:szCs w:val="22"/>
        </w:rPr>
        <w:t>from</w:t>
      </w:r>
      <w:r w:rsidR="00D607BC">
        <w:rPr>
          <w:sz w:val="22"/>
          <w:szCs w:val="22"/>
        </w:rPr>
        <w:t xml:space="preserve"> the </w:t>
      </w:r>
      <w:r w:rsidR="00C712B1">
        <w:rPr>
          <w:sz w:val="22"/>
          <w:szCs w:val="22"/>
        </w:rPr>
        <w:t xml:space="preserve">No. 4 Recovery Boiler being converted from firing residual fuel oil to firing natural gas </w:t>
      </w:r>
      <w:r w:rsidR="00461674">
        <w:rPr>
          <w:sz w:val="22"/>
          <w:szCs w:val="22"/>
        </w:rPr>
        <w:t xml:space="preserve">for startup and </w:t>
      </w:r>
      <w:r w:rsidR="00C712B1">
        <w:rPr>
          <w:sz w:val="22"/>
          <w:szCs w:val="22"/>
        </w:rPr>
        <w:t>as a supplemental fuel.</w:t>
      </w:r>
      <w:r w:rsidR="00D607BC">
        <w:rPr>
          <w:sz w:val="22"/>
          <w:szCs w:val="22"/>
        </w:rPr>
        <w:t xml:space="preserve"> </w:t>
      </w:r>
      <w:r w:rsidR="00C712B1">
        <w:rPr>
          <w:sz w:val="22"/>
          <w:szCs w:val="22"/>
        </w:rPr>
        <w:t xml:space="preserve"> Included in the analysis is the possible increase</w:t>
      </w:r>
      <w:r w:rsidR="00033DB5">
        <w:rPr>
          <w:sz w:val="22"/>
          <w:szCs w:val="22"/>
        </w:rPr>
        <w:t xml:space="preserve"> in</w:t>
      </w:r>
      <w:r w:rsidR="00C712B1">
        <w:rPr>
          <w:sz w:val="22"/>
          <w:szCs w:val="22"/>
        </w:rPr>
        <w:t xml:space="preserve"> </w:t>
      </w:r>
      <w:r w:rsidR="00381929">
        <w:rPr>
          <w:sz w:val="22"/>
          <w:szCs w:val="22"/>
        </w:rPr>
        <w:t>the utilization of the recovery boiler while</w:t>
      </w:r>
      <w:r w:rsidR="00C712B1">
        <w:rPr>
          <w:sz w:val="22"/>
          <w:szCs w:val="22"/>
        </w:rPr>
        <w:t xml:space="preserve"> firing natural gas.</w:t>
      </w:r>
    </w:p>
    <w:p w:rsidR="00D607BC" w:rsidRDefault="00381929" w:rsidP="0040333E">
      <w:pPr>
        <w:autoSpaceDE w:val="0"/>
        <w:autoSpaceDN w:val="0"/>
        <w:adjustRightInd w:val="0"/>
        <w:spacing w:before="120" w:after="120"/>
        <w:rPr>
          <w:sz w:val="22"/>
          <w:szCs w:val="22"/>
        </w:rPr>
      </w:pPr>
      <w:r>
        <w:rPr>
          <w:sz w:val="22"/>
          <w:szCs w:val="22"/>
        </w:rPr>
        <w:t xml:space="preserve">Baseline actual emissions for each pollutant were based on the highest </w:t>
      </w:r>
      <w:r w:rsidR="003455E1">
        <w:rPr>
          <w:sz w:val="22"/>
          <w:szCs w:val="22"/>
        </w:rPr>
        <w:t xml:space="preserve">24- month annual </w:t>
      </w:r>
      <w:r>
        <w:rPr>
          <w:sz w:val="22"/>
          <w:szCs w:val="22"/>
        </w:rPr>
        <w:t xml:space="preserve">average of the last 10 years (March 2003 – December 2012).  </w:t>
      </w:r>
      <w:r w:rsidR="004B7DCC">
        <w:rPr>
          <w:sz w:val="22"/>
          <w:szCs w:val="22"/>
        </w:rPr>
        <w:t xml:space="preserve">Actual emissions were determined based on operating data, available stack test data, CEMS data, and published emissions data.  </w:t>
      </w:r>
      <w:r w:rsidR="001966C9">
        <w:rPr>
          <w:sz w:val="22"/>
          <w:szCs w:val="22"/>
        </w:rPr>
        <w:t xml:space="preserve">Table 4-4 </w:t>
      </w:r>
      <w:r w:rsidR="003B3BE7">
        <w:rPr>
          <w:sz w:val="22"/>
          <w:szCs w:val="22"/>
        </w:rPr>
        <w:t>in</w:t>
      </w:r>
      <w:r w:rsidR="001966C9">
        <w:rPr>
          <w:sz w:val="22"/>
          <w:szCs w:val="22"/>
        </w:rPr>
        <w:t xml:space="preserve"> the application, showed the maximum </w:t>
      </w:r>
      <w:r w:rsidR="003B3BE7">
        <w:rPr>
          <w:sz w:val="22"/>
          <w:szCs w:val="22"/>
        </w:rPr>
        <w:t xml:space="preserve">annual </w:t>
      </w:r>
      <w:r w:rsidR="001966C9">
        <w:rPr>
          <w:sz w:val="22"/>
          <w:szCs w:val="22"/>
        </w:rPr>
        <w:t xml:space="preserve">BLS burned in the No. 4 Recovery Boiler </w:t>
      </w:r>
      <w:r w:rsidR="003B3BE7">
        <w:rPr>
          <w:sz w:val="22"/>
          <w:szCs w:val="22"/>
        </w:rPr>
        <w:t xml:space="preserve">during this time period </w:t>
      </w:r>
      <w:r w:rsidR="001966C9">
        <w:rPr>
          <w:sz w:val="22"/>
          <w:szCs w:val="22"/>
        </w:rPr>
        <w:t>was 831,687 ton</w:t>
      </w:r>
      <w:r w:rsidR="003B3BE7">
        <w:rPr>
          <w:sz w:val="22"/>
          <w:szCs w:val="22"/>
        </w:rPr>
        <w:t>s</w:t>
      </w:r>
      <w:r w:rsidR="001966C9">
        <w:rPr>
          <w:sz w:val="22"/>
          <w:szCs w:val="22"/>
        </w:rPr>
        <w:t xml:space="preserve"> of BLS</w:t>
      </w:r>
      <w:r w:rsidR="00A769CB">
        <w:rPr>
          <w:sz w:val="22"/>
          <w:szCs w:val="22"/>
        </w:rPr>
        <w:t>/year</w:t>
      </w:r>
      <w:r w:rsidR="001966C9">
        <w:rPr>
          <w:sz w:val="22"/>
          <w:szCs w:val="22"/>
        </w:rPr>
        <w:t xml:space="preserve"> and the annual average </w:t>
      </w:r>
      <w:proofErr w:type="gramStart"/>
      <w:r w:rsidR="00A769CB">
        <w:rPr>
          <w:sz w:val="22"/>
          <w:szCs w:val="22"/>
        </w:rPr>
        <w:t>was</w:t>
      </w:r>
      <w:proofErr w:type="gramEnd"/>
      <w:r w:rsidR="003B3BE7">
        <w:rPr>
          <w:sz w:val="22"/>
          <w:szCs w:val="22"/>
        </w:rPr>
        <w:t xml:space="preserve"> 732,550 tons of BLS</w:t>
      </w:r>
      <w:r w:rsidR="00A769CB">
        <w:rPr>
          <w:sz w:val="22"/>
          <w:szCs w:val="22"/>
        </w:rPr>
        <w:t>/year</w:t>
      </w:r>
      <w:r w:rsidR="003B3BE7">
        <w:rPr>
          <w:sz w:val="22"/>
          <w:szCs w:val="22"/>
        </w:rPr>
        <w:t>.</w:t>
      </w:r>
      <w:r w:rsidR="001966C9">
        <w:rPr>
          <w:sz w:val="22"/>
          <w:szCs w:val="22"/>
        </w:rPr>
        <w:t xml:space="preserve"> </w:t>
      </w:r>
      <w:r w:rsidR="003B3BE7">
        <w:rPr>
          <w:sz w:val="22"/>
          <w:szCs w:val="22"/>
        </w:rPr>
        <w:t xml:space="preserve"> Fuel </w:t>
      </w:r>
      <w:r w:rsidR="00890FFF">
        <w:rPr>
          <w:sz w:val="22"/>
          <w:szCs w:val="22"/>
        </w:rPr>
        <w:t xml:space="preserve">oil </w:t>
      </w:r>
      <w:r w:rsidR="003B3BE7">
        <w:rPr>
          <w:sz w:val="22"/>
          <w:szCs w:val="22"/>
        </w:rPr>
        <w:t>usage data showed the maximum annual heat input to the recovery boiler was 527,510 MMBtu</w:t>
      </w:r>
      <w:r w:rsidR="00A769CB">
        <w:rPr>
          <w:sz w:val="22"/>
          <w:szCs w:val="22"/>
        </w:rPr>
        <w:t>/year</w:t>
      </w:r>
      <w:r w:rsidR="003B3BE7">
        <w:rPr>
          <w:sz w:val="22"/>
          <w:szCs w:val="22"/>
        </w:rPr>
        <w:t xml:space="preserve"> and the annual average was 240,265 MMBtu</w:t>
      </w:r>
      <w:r w:rsidR="00A769CB">
        <w:rPr>
          <w:sz w:val="22"/>
          <w:szCs w:val="22"/>
        </w:rPr>
        <w:t>/year</w:t>
      </w:r>
      <w:r w:rsidR="003B3BE7">
        <w:rPr>
          <w:sz w:val="22"/>
          <w:szCs w:val="22"/>
        </w:rPr>
        <w:t>.</w:t>
      </w:r>
    </w:p>
    <w:p w:rsidR="00EF0388" w:rsidRDefault="002D4FE7" w:rsidP="0040333E">
      <w:pPr>
        <w:autoSpaceDE w:val="0"/>
        <w:autoSpaceDN w:val="0"/>
        <w:adjustRightInd w:val="0"/>
        <w:spacing w:before="120" w:after="120"/>
        <w:rPr>
          <w:sz w:val="22"/>
          <w:szCs w:val="22"/>
        </w:rPr>
      </w:pPr>
      <w:r>
        <w:rPr>
          <w:sz w:val="22"/>
          <w:szCs w:val="22"/>
        </w:rPr>
        <w:t xml:space="preserve">The potential emissions were estimated using emission factors developed by Georgia Pacific based on historical operating data, the company’s own representation, and the company expected business activity.  </w:t>
      </w:r>
      <w:r w:rsidR="00833A25">
        <w:rPr>
          <w:sz w:val="22"/>
          <w:szCs w:val="22"/>
        </w:rPr>
        <w:t>The applicant</w:t>
      </w:r>
      <w:r>
        <w:rPr>
          <w:sz w:val="22"/>
          <w:szCs w:val="22"/>
        </w:rPr>
        <w:t xml:space="preserve"> determined that the No. 4 Recovery Boiler will burn a maximum of 823,000 tons of BLS/year over the next 5 years</w:t>
      </w:r>
      <w:r w:rsidR="00DD3361">
        <w:rPr>
          <w:sz w:val="22"/>
          <w:szCs w:val="22"/>
        </w:rPr>
        <w:t>.  The activity factor used for the combustion of natural gas was based on</w:t>
      </w:r>
      <w:r w:rsidR="00EF0388">
        <w:rPr>
          <w:sz w:val="22"/>
          <w:szCs w:val="22"/>
        </w:rPr>
        <w:t xml:space="preserve"> </w:t>
      </w:r>
      <w:r w:rsidR="00DD3361">
        <w:rPr>
          <w:sz w:val="22"/>
          <w:szCs w:val="22"/>
        </w:rPr>
        <w:t xml:space="preserve">a </w:t>
      </w:r>
      <w:r w:rsidR="00EF0388">
        <w:rPr>
          <w:sz w:val="22"/>
          <w:szCs w:val="22"/>
        </w:rPr>
        <w:t xml:space="preserve">maximum annual natural gas heat input of 1,178,220 MMBtu/year, which is equivalent to 10% of the annual heat input to the boiler.  However in actual operation, the annual heat input of firing fuel oil has never been </w:t>
      </w:r>
      <w:r w:rsidR="00833A25">
        <w:rPr>
          <w:sz w:val="22"/>
          <w:szCs w:val="22"/>
        </w:rPr>
        <w:t>greater than</w:t>
      </w:r>
      <w:r w:rsidR="00EF0388">
        <w:rPr>
          <w:sz w:val="22"/>
          <w:szCs w:val="22"/>
        </w:rPr>
        <w:t xml:space="preserve"> 5%</w:t>
      </w:r>
      <w:r w:rsidR="00833A25">
        <w:rPr>
          <w:sz w:val="22"/>
          <w:szCs w:val="22"/>
        </w:rPr>
        <w:t xml:space="preserve"> of the annual heat input limit</w:t>
      </w:r>
      <w:r w:rsidR="00EF0388">
        <w:rPr>
          <w:sz w:val="22"/>
          <w:szCs w:val="22"/>
        </w:rPr>
        <w:t>.  The proposed inc</w:t>
      </w:r>
      <w:r w:rsidR="006F56AE">
        <w:rPr>
          <w:sz w:val="22"/>
          <w:szCs w:val="22"/>
        </w:rPr>
        <w:t xml:space="preserve">rease in burning natural gas will be based on the </w:t>
      </w:r>
      <w:r w:rsidR="006F56AE">
        <w:rPr>
          <w:sz w:val="22"/>
        </w:rPr>
        <w:t>efficiency of burning natural gas in the No. 4 Recovery Boiler versus the No. 7 Package Boiler.</w:t>
      </w:r>
      <w:r w:rsidR="00EF0388">
        <w:rPr>
          <w:sz w:val="22"/>
          <w:szCs w:val="22"/>
        </w:rPr>
        <w:t xml:space="preserve"> </w:t>
      </w:r>
      <w:r w:rsidR="006F56AE">
        <w:rPr>
          <w:sz w:val="22"/>
          <w:szCs w:val="22"/>
        </w:rPr>
        <w:t xml:space="preserve"> The project may </w:t>
      </w:r>
      <w:r w:rsidR="006F56AE">
        <w:rPr>
          <w:sz w:val="22"/>
        </w:rPr>
        <w:t xml:space="preserve">result in lower utilization of the No. 7 Package Boiler, which would reduce </w:t>
      </w:r>
      <w:r w:rsidR="00033DB5">
        <w:rPr>
          <w:sz w:val="22"/>
        </w:rPr>
        <w:t xml:space="preserve">its </w:t>
      </w:r>
      <w:r w:rsidR="006F56AE">
        <w:rPr>
          <w:sz w:val="22"/>
        </w:rPr>
        <w:t xml:space="preserve">emissions.  </w:t>
      </w:r>
      <w:r w:rsidR="00033DB5">
        <w:rPr>
          <w:sz w:val="22"/>
        </w:rPr>
        <w:t>The possibility of r</w:t>
      </w:r>
      <w:r w:rsidR="006F56AE">
        <w:rPr>
          <w:sz w:val="22"/>
        </w:rPr>
        <w:t xml:space="preserve">educed emissions from the package boiler </w:t>
      </w:r>
      <w:r w:rsidR="00033DB5">
        <w:rPr>
          <w:sz w:val="22"/>
        </w:rPr>
        <w:t>was not addressed</w:t>
      </w:r>
      <w:r w:rsidR="006F56AE">
        <w:rPr>
          <w:sz w:val="22"/>
        </w:rPr>
        <w:t xml:space="preserve"> in the application.  </w:t>
      </w:r>
      <w:r w:rsidR="006F56AE" w:rsidRPr="00F61D14">
        <w:rPr>
          <w:sz w:val="22"/>
          <w:szCs w:val="22"/>
        </w:rPr>
        <w:t>The recovery boiler will remain subject to all existing emissions standards.</w:t>
      </w:r>
    </w:p>
    <w:p w:rsidR="006A48E0" w:rsidRDefault="006B28EE" w:rsidP="006B28EE">
      <w:pPr>
        <w:autoSpaceDE w:val="0"/>
        <w:autoSpaceDN w:val="0"/>
        <w:adjustRightInd w:val="0"/>
        <w:spacing w:before="120" w:after="120"/>
        <w:rPr>
          <w:sz w:val="22"/>
          <w:szCs w:val="22"/>
        </w:rPr>
      </w:pPr>
      <w:r>
        <w:rPr>
          <w:sz w:val="22"/>
          <w:szCs w:val="22"/>
        </w:rPr>
        <w:t xml:space="preserve">The Department has determined that based on the increase in </w:t>
      </w:r>
      <w:r w:rsidRPr="00666D89">
        <w:rPr>
          <w:sz w:val="22"/>
          <w:szCs w:val="22"/>
        </w:rPr>
        <w:t>NO</w:t>
      </w:r>
      <w:r w:rsidRPr="00666D89">
        <w:rPr>
          <w:sz w:val="22"/>
          <w:szCs w:val="22"/>
          <w:vertAlign w:val="subscript"/>
        </w:rPr>
        <w:t>X</w:t>
      </w:r>
      <w:r>
        <w:rPr>
          <w:sz w:val="22"/>
          <w:szCs w:val="22"/>
        </w:rPr>
        <w:t xml:space="preserve"> emissions of </w:t>
      </w:r>
      <w:r w:rsidRPr="00666D89">
        <w:rPr>
          <w:sz w:val="22"/>
          <w:szCs w:val="22"/>
        </w:rPr>
        <w:t>35.79 tons/year, which was just below the PSD significant emissions rate of 40 tons/year</w:t>
      </w:r>
      <w:r w:rsidR="008D4847">
        <w:rPr>
          <w:sz w:val="22"/>
          <w:szCs w:val="22"/>
        </w:rPr>
        <w:t xml:space="preserve">, the applicant, </w:t>
      </w:r>
      <w:r w:rsidR="008D4847" w:rsidRPr="00666D89">
        <w:rPr>
          <w:sz w:val="22"/>
          <w:szCs w:val="22"/>
        </w:rPr>
        <w:t xml:space="preserve">shall compute and report annual emissions for a period of 5 years following resumption of regular operations after the </w:t>
      </w:r>
      <w:r w:rsidR="008D4847">
        <w:rPr>
          <w:sz w:val="22"/>
          <w:szCs w:val="22"/>
        </w:rPr>
        <w:t>No. 4 Recovery Boiler has been converted to fire natural gas</w:t>
      </w:r>
      <w:r w:rsidR="008D4847" w:rsidRPr="00666D89">
        <w:rPr>
          <w:bCs/>
          <w:sz w:val="22"/>
          <w:szCs w:val="22"/>
        </w:rPr>
        <w:t>.</w:t>
      </w:r>
      <w:r w:rsidRPr="00666D89">
        <w:rPr>
          <w:sz w:val="22"/>
          <w:szCs w:val="22"/>
        </w:rPr>
        <w:t xml:space="preserve"> </w:t>
      </w:r>
      <w:r w:rsidR="008D4847">
        <w:rPr>
          <w:sz w:val="22"/>
          <w:szCs w:val="22"/>
        </w:rPr>
        <w:t xml:space="preserve"> </w:t>
      </w:r>
      <w:r w:rsidRPr="00666D89">
        <w:rPr>
          <w:sz w:val="22"/>
          <w:szCs w:val="22"/>
        </w:rPr>
        <w:t>For this project, the permittee shall use data collected from the CEMS to determine and report the actual annual emissions of NO</w:t>
      </w:r>
      <w:r w:rsidRPr="00666D89">
        <w:rPr>
          <w:sz w:val="22"/>
          <w:szCs w:val="22"/>
          <w:vertAlign w:val="subscript"/>
        </w:rPr>
        <w:t>X</w:t>
      </w:r>
      <w:r w:rsidRPr="00666D89">
        <w:rPr>
          <w:sz w:val="22"/>
          <w:szCs w:val="22"/>
        </w:rPr>
        <w:t xml:space="preserve"> for the No. 4 Recovery Boiler to show compliance with the established BACT emission limit included in </w:t>
      </w:r>
      <w:r w:rsidR="004533BB">
        <w:rPr>
          <w:sz w:val="22"/>
          <w:szCs w:val="22"/>
        </w:rPr>
        <w:t>P</w:t>
      </w:r>
      <w:r w:rsidRPr="00666D89">
        <w:rPr>
          <w:sz w:val="22"/>
          <w:szCs w:val="22"/>
        </w:rPr>
        <w:t xml:space="preserve">ermit </w:t>
      </w:r>
      <w:r w:rsidR="00115E6A">
        <w:rPr>
          <w:sz w:val="22"/>
          <w:szCs w:val="22"/>
        </w:rPr>
        <w:t xml:space="preserve">No. </w:t>
      </w:r>
      <w:proofErr w:type="gramStart"/>
      <w:r w:rsidRPr="00666D89">
        <w:rPr>
          <w:sz w:val="22"/>
          <w:szCs w:val="22"/>
        </w:rPr>
        <w:t>PSD-FL-380 (1070005-038-AC)</w:t>
      </w:r>
      <w:r w:rsidR="00033DB5">
        <w:rPr>
          <w:sz w:val="22"/>
          <w:szCs w:val="22"/>
        </w:rPr>
        <w:t xml:space="preserve"> and that the SER for NO</w:t>
      </w:r>
      <w:r w:rsidR="00033DB5" w:rsidRPr="00033DB5">
        <w:rPr>
          <w:sz w:val="22"/>
          <w:szCs w:val="22"/>
          <w:vertAlign w:val="subscript"/>
        </w:rPr>
        <w:t>X</w:t>
      </w:r>
      <w:r w:rsidR="00033DB5">
        <w:rPr>
          <w:sz w:val="22"/>
          <w:szCs w:val="22"/>
        </w:rPr>
        <w:t xml:space="preserve"> emissions has not been exceeded</w:t>
      </w:r>
      <w:r w:rsidR="00833A25">
        <w:rPr>
          <w:sz w:val="22"/>
          <w:szCs w:val="22"/>
        </w:rPr>
        <w:t xml:space="preserve"> due to this project</w:t>
      </w:r>
      <w:r w:rsidRPr="00666D89">
        <w:rPr>
          <w:sz w:val="22"/>
          <w:szCs w:val="22"/>
        </w:rPr>
        <w:t>.</w:t>
      </w:r>
      <w:proofErr w:type="gramEnd"/>
      <w:r w:rsidR="00E86A0A">
        <w:rPr>
          <w:sz w:val="22"/>
          <w:szCs w:val="22"/>
        </w:rPr>
        <w:t xml:space="preserve">  </w:t>
      </w:r>
    </w:p>
    <w:p w:rsidR="00193F10" w:rsidRPr="000B4B28" w:rsidRDefault="006A48E0" w:rsidP="006A48E0">
      <w:pPr>
        <w:autoSpaceDE w:val="0"/>
        <w:autoSpaceDN w:val="0"/>
        <w:adjustRightInd w:val="0"/>
        <w:spacing w:before="120" w:after="120"/>
        <w:rPr>
          <w:b/>
          <w:caps/>
          <w:sz w:val="22"/>
        </w:rPr>
      </w:pPr>
      <w:r>
        <w:rPr>
          <w:sz w:val="22"/>
          <w:szCs w:val="22"/>
        </w:rPr>
        <w:br w:type="page"/>
      </w:r>
      <w:r w:rsidR="00193F10" w:rsidRPr="000B4B28">
        <w:rPr>
          <w:b/>
          <w:caps/>
          <w:sz w:val="22"/>
        </w:rPr>
        <w:t>4.  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6C196E">
        <w:rPr>
          <w:sz w:val="22"/>
        </w:rPr>
        <w:t>Tammy McWade</w:t>
      </w:r>
      <w:r>
        <w:rPr>
          <w:sz w:val="22"/>
        </w:rPr>
        <w:t xml:space="preserve"> is the project engineer responsible for reviewing the application and drafting the permit.  Additional details of this analysis may be obtained by contacting the project engineer at </w:t>
      </w:r>
      <w:r w:rsidR="00033DB5">
        <w:rPr>
          <w:sz w:val="22"/>
        </w:rPr>
        <w:t xml:space="preserve">850/717-9086 or by email </w:t>
      </w:r>
      <w:hyperlink r:id="rId17" w:history="1">
        <w:r w:rsidR="00033DB5" w:rsidRPr="006D00A0">
          <w:rPr>
            <w:rStyle w:val="Hyperlink"/>
            <w:sz w:val="22"/>
          </w:rPr>
          <w:t>tammy.mcwade@dep.state.fl.us</w:t>
        </w:r>
      </w:hyperlink>
      <w:r w:rsidR="00033DB5">
        <w:rPr>
          <w:sz w:val="22"/>
        </w:rPr>
        <w:t xml:space="preserve"> at </w:t>
      </w:r>
      <w:r>
        <w:rPr>
          <w:sz w:val="22"/>
        </w:rPr>
        <w:t xml:space="preserve">the Department’s </w:t>
      </w:r>
      <w:r w:rsidR="009F6095">
        <w:rPr>
          <w:sz w:val="22"/>
        </w:rPr>
        <w:t>Office of Permitting and Compliance</w:t>
      </w:r>
      <w:r>
        <w:rPr>
          <w:sz w:val="22"/>
        </w:rPr>
        <w:t xml:space="preserve"> at Mail Station #5505, 2600 Blair Stone Road, Tallahassee, Florida  32399-2400.</w:t>
      </w:r>
    </w:p>
    <w:p w:rsidR="00C21DFB" w:rsidRDefault="00C21DFB" w:rsidP="00C21DFB">
      <w:pPr>
        <w:pStyle w:val="BodyText2"/>
        <w:numPr>
          <w:ilvl w:val="0"/>
          <w:numId w:val="0"/>
        </w:numPr>
        <w:jc w:val="left"/>
      </w:pPr>
    </w:p>
    <w:p w:rsidR="00C21DFB" w:rsidRDefault="00C21DFB" w:rsidP="004D1D9F">
      <w:pPr>
        <w:widowControl w:val="0"/>
        <w:spacing w:after="120"/>
        <w:rPr>
          <w:sz w:val="22"/>
        </w:rPr>
      </w:pPr>
    </w:p>
    <w:sectPr w:rsidR="00C21DFB" w:rsidSect="00784AD4">
      <w:pgSz w:w="12240" w:h="15840" w:code="1"/>
      <w:pgMar w:top="720" w:right="1080" w:bottom="720" w:left="1080" w:header="720" w:footer="386"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276" w:rsidRDefault="007D1276">
      <w:r>
        <w:separator/>
      </w:r>
    </w:p>
  </w:endnote>
  <w:endnote w:type="continuationSeparator" w:id="0">
    <w:p w:rsidR="007D1276" w:rsidRDefault="007D12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276" w:rsidRDefault="007D1276" w:rsidP="005858A3">
    <w:pPr>
      <w:pBdr>
        <w:top w:val="single" w:sz="4" w:space="1" w:color="auto"/>
      </w:pBdr>
      <w:tabs>
        <w:tab w:val="right" w:pos="10080"/>
      </w:tabs>
      <w:spacing w:before="120"/>
      <w:jc w:val="both"/>
    </w:pPr>
    <w:r w:rsidRPr="00B524D4">
      <w:t>Georgia-Pacific Consumer Operations LLC</w:t>
    </w:r>
    <w:r w:rsidRPr="00E36793">
      <w:tab/>
    </w:r>
    <w:r>
      <w:t>Project</w:t>
    </w:r>
    <w:r w:rsidRPr="00E36793">
      <w:t xml:space="preserve"> No. </w:t>
    </w:r>
    <w:r w:rsidRPr="00B524D4">
      <w:t>1070005-080-AC</w:t>
    </w:r>
  </w:p>
  <w:p w:rsidR="007D1276" w:rsidRPr="00E36793" w:rsidRDefault="007D1276" w:rsidP="005858A3">
    <w:pPr>
      <w:pBdr>
        <w:top w:val="single" w:sz="4" w:space="1" w:color="auto"/>
      </w:pBdr>
      <w:tabs>
        <w:tab w:val="right" w:pos="10080"/>
      </w:tabs>
      <w:jc w:val="both"/>
    </w:pPr>
    <w:r>
      <w:t>Palatka Mill</w:t>
    </w:r>
    <w:r>
      <w:tab/>
      <w:t>No. 4 Recovery Boiler Conversion of Oil to Natural Gas</w:t>
    </w:r>
  </w:p>
  <w:p w:rsidR="007D1276" w:rsidRDefault="007D1276">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741DB9">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41DB9">
      <w:rPr>
        <w:rStyle w:val="PageNumber"/>
        <w:noProof/>
      </w:rPr>
      <w:t>9</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276" w:rsidRDefault="007D12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276" w:rsidRDefault="007D1276">
      <w:r>
        <w:separator/>
      </w:r>
    </w:p>
  </w:footnote>
  <w:footnote w:type="continuationSeparator" w:id="0">
    <w:p w:rsidR="007D1276" w:rsidRDefault="007D12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276" w:rsidRDefault="007D1276">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276" w:rsidRDefault="007D12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C1F04EC"/>
    <w:multiLevelType w:val="hybridMultilevel"/>
    <w:tmpl w:val="86FAB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AAC7836"/>
    <w:multiLevelType w:val="hybridMultilevel"/>
    <w:tmpl w:val="B55E7604"/>
    <w:lvl w:ilvl="0" w:tplc="F48E7B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CF76E9"/>
    <w:multiLevelType w:val="hybridMultilevel"/>
    <w:tmpl w:val="7F208E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3B6EDD"/>
    <w:multiLevelType w:val="hybridMultilevel"/>
    <w:tmpl w:val="8AE4B1A0"/>
    <w:lvl w:ilvl="0" w:tplc="EF540ACA">
      <w:start w:val="1"/>
      <w:numFmt w:val="lowerLetter"/>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BB1B0C"/>
    <w:multiLevelType w:val="hybridMultilevel"/>
    <w:tmpl w:val="8FA2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B64D77"/>
    <w:multiLevelType w:val="hybridMultilevel"/>
    <w:tmpl w:val="12FEDC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9D529F"/>
    <w:multiLevelType w:val="hybridMultilevel"/>
    <w:tmpl w:val="B4B40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1"/>
  </w:num>
  <w:num w:numId="3">
    <w:abstractNumId w:val="0"/>
  </w:num>
  <w:num w:numId="4">
    <w:abstractNumId w:val="2"/>
  </w:num>
  <w:num w:numId="5">
    <w:abstractNumId w:val="4"/>
  </w:num>
  <w:num w:numId="6">
    <w:abstractNumId w:val="8"/>
  </w:num>
  <w:num w:numId="7">
    <w:abstractNumId w:val="5"/>
  </w:num>
  <w:num w:numId="8">
    <w:abstractNumId w:val="1"/>
  </w:num>
  <w:num w:numId="9">
    <w:abstractNumId w:val="6"/>
  </w:num>
  <w:num w:numId="10">
    <w:abstractNumId w:val="7"/>
  </w:num>
  <w:num w:numId="11">
    <w:abstractNumId w:val="9"/>
  </w:num>
  <w:num w:numId="12">
    <w:abstractNumId w:val="12"/>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193F10"/>
    <w:rsid w:val="00000F06"/>
    <w:rsid w:val="00002887"/>
    <w:rsid w:val="00006DA9"/>
    <w:rsid w:val="00011EFF"/>
    <w:rsid w:val="0001289C"/>
    <w:rsid w:val="00026323"/>
    <w:rsid w:val="00026ACA"/>
    <w:rsid w:val="00027A68"/>
    <w:rsid w:val="00027BCF"/>
    <w:rsid w:val="00032D82"/>
    <w:rsid w:val="0003360E"/>
    <w:rsid w:val="00033DB5"/>
    <w:rsid w:val="00035077"/>
    <w:rsid w:val="00052C38"/>
    <w:rsid w:val="0005599B"/>
    <w:rsid w:val="00061F31"/>
    <w:rsid w:val="00063720"/>
    <w:rsid w:val="00063831"/>
    <w:rsid w:val="00077A62"/>
    <w:rsid w:val="00081601"/>
    <w:rsid w:val="00096592"/>
    <w:rsid w:val="000A5382"/>
    <w:rsid w:val="000B3948"/>
    <w:rsid w:val="000B3B19"/>
    <w:rsid w:val="000B4B28"/>
    <w:rsid w:val="000C5143"/>
    <w:rsid w:val="000E28BA"/>
    <w:rsid w:val="000E373A"/>
    <w:rsid w:val="000E3D81"/>
    <w:rsid w:val="000E42D3"/>
    <w:rsid w:val="000F439D"/>
    <w:rsid w:val="00110046"/>
    <w:rsid w:val="00111453"/>
    <w:rsid w:val="00115E6A"/>
    <w:rsid w:val="00121F41"/>
    <w:rsid w:val="00130BD6"/>
    <w:rsid w:val="001400B3"/>
    <w:rsid w:val="00140CD4"/>
    <w:rsid w:val="00155217"/>
    <w:rsid w:val="00174910"/>
    <w:rsid w:val="00176D3D"/>
    <w:rsid w:val="001771DC"/>
    <w:rsid w:val="00186323"/>
    <w:rsid w:val="00193F10"/>
    <w:rsid w:val="00194AA6"/>
    <w:rsid w:val="001966C9"/>
    <w:rsid w:val="001A4731"/>
    <w:rsid w:val="001A4EBB"/>
    <w:rsid w:val="001C00D5"/>
    <w:rsid w:val="001C271F"/>
    <w:rsid w:val="001C4E37"/>
    <w:rsid w:val="001C6C40"/>
    <w:rsid w:val="001D0462"/>
    <w:rsid w:val="001D1649"/>
    <w:rsid w:val="001D487F"/>
    <w:rsid w:val="001D76C6"/>
    <w:rsid w:val="001E1CB0"/>
    <w:rsid w:val="001E2CD6"/>
    <w:rsid w:val="001F34C4"/>
    <w:rsid w:val="001F37A4"/>
    <w:rsid w:val="00201860"/>
    <w:rsid w:val="00206014"/>
    <w:rsid w:val="002225DD"/>
    <w:rsid w:val="0025108D"/>
    <w:rsid w:val="00272489"/>
    <w:rsid w:val="00275F4F"/>
    <w:rsid w:val="00276AF9"/>
    <w:rsid w:val="0028197A"/>
    <w:rsid w:val="002852D5"/>
    <w:rsid w:val="002876B9"/>
    <w:rsid w:val="00290FB3"/>
    <w:rsid w:val="00294D4A"/>
    <w:rsid w:val="002A1454"/>
    <w:rsid w:val="002A28C2"/>
    <w:rsid w:val="002A4B72"/>
    <w:rsid w:val="002A6C76"/>
    <w:rsid w:val="002B74D8"/>
    <w:rsid w:val="002C2E55"/>
    <w:rsid w:val="002C4514"/>
    <w:rsid w:val="002D132A"/>
    <w:rsid w:val="002D4FE7"/>
    <w:rsid w:val="002F0E6E"/>
    <w:rsid w:val="002F1204"/>
    <w:rsid w:val="0030097B"/>
    <w:rsid w:val="00302267"/>
    <w:rsid w:val="00302361"/>
    <w:rsid w:val="00312095"/>
    <w:rsid w:val="003175A9"/>
    <w:rsid w:val="00322600"/>
    <w:rsid w:val="0033363A"/>
    <w:rsid w:val="00340A62"/>
    <w:rsid w:val="003455E1"/>
    <w:rsid w:val="00346552"/>
    <w:rsid w:val="00362749"/>
    <w:rsid w:val="00362B27"/>
    <w:rsid w:val="00365BEC"/>
    <w:rsid w:val="00381929"/>
    <w:rsid w:val="003858DE"/>
    <w:rsid w:val="0039482F"/>
    <w:rsid w:val="003A1203"/>
    <w:rsid w:val="003A28D3"/>
    <w:rsid w:val="003A2FA2"/>
    <w:rsid w:val="003A3C29"/>
    <w:rsid w:val="003B1E0A"/>
    <w:rsid w:val="003B3BE7"/>
    <w:rsid w:val="003B5992"/>
    <w:rsid w:val="003B7DDB"/>
    <w:rsid w:val="003D642F"/>
    <w:rsid w:val="003E683A"/>
    <w:rsid w:val="003E6FF4"/>
    <w:rsid w:val="003F1AFB"/>
    <w:rsid w:val="0040283C"/>
    <w:rsid w:val="0040333E"/>
    <w:rsid w:val="00407492"/>
    <w:rsid w:val="004123A6"/>
    <w:rsid w:val="00417212"/>
    <w:rsid w:val="00421ECE"/>
    <w:rsid w:val="0043123B"/>
    <w:rsid w:val="00433878"/>
    <w:rsid w:val="0043744E"/>
    <w:rsid w:val="004414F2"/>
    <w:rsid w:val="00443DBA"/>
    <w:rsid w:val="00445A54"/>
    <w:rsid w:val="00446FE7"/>
    <w:rsid w:val="004533BB"/>
    <w:rsid w:val="004611B6"/>
    <w:rsid w:val="00461674"/>
    <w:rsid w:val="00461B52"/>
    <w:rsid w:val="00474A1F"/>
    <w:rsid w:val="004A06E5"/>
    <w:rsid w:val="004A7DDD"/>
    <w:rsid w:val="004B5185"/>
    <w:rsid w:val="004B7DCC"/>
    <w:rsid w:val="004C0984"/>
    <w:rsid w:val="004D1D9F"/>
    <w:rsid w:val="004D4064"/>
    <w:rsid w:val="004D4457"/>
    <w:rsid w:val="004D7952"/>
    <w:rsid w:val="004E48C8"/>
    <w:rsid w:val="004F16EB"/>
    <w:rsid w:val="004F2BE8"/>
    <w:rsid w:val="004F4433"/>
    <w:rsid w:val="00515905"/>
    <w:rsid w:val="00516F64"/>
    <w:rsid w:val="0053630C"/>
    <w:rsid w:val="0054320D"/>
    <w:rsid w:val="00543867"/>
    <w:rsid w:val="00554DA1"/>
    <w:rsid w:val="00556586"/>
    <w:rsid w:val="005858A3"/>
    <w:rsid w:val="005971D4"/>
    <w:rsid w:val="005A0F6B"/>
    <w:rsid w:val="005A1927"/>
    <w:rsid w:val="005B0A93"/>
    <w:rsid w:val="005C4844"/>
    <w:rsid w:val="005E301F"/>
    <w:rsid w:val="005E3506"/>
    <w:rsid w:val="005E36E4"/>
    <w:rsid w:val="005E3B19"/>
    <w:rsid w:val="005F0956"/>
    <w:rsid w:val="005F2A84"/>
    <w:rsid w:val="005F3A6D"/>
    <w:rsid w:val="006030D2"/>
    <w:rsid w:val="006146FB"/>
    <w:rsid w:val="00617209"/>
    <w:rsid w:val="0062105C"/>
    <w:rsid w:val="006403EC"/>
    <w:rsid w:val="00645F52"/>
    <w:rsid w:val="0065214A"/>
    <w:rsid w:val="0066044B"/>
    <w:rsid w:val="00663384"/>
    <w:rsid w:val="006637B8"/>
    <w:rsid w:val="00666D89"/>
    <w:rsid w:val="006831A0"/>
    <w:rsid w:val="00684184"/>
    <w:rsid w:val="006857AC"/>
    <w:rsid w:val="00686486"/>
    <w:rsid w:val="006A48E0"/>
    <w:rsid w:val="006B28EE"/>
    <w:rsid w:val="006B3DD2"/>
    <w:rsid w:val="006B5E50"/>
    <w:rsid w:val="006B6EFE"/>
    <w:rsid w:val="006B707F"/>
    <w:rsid w:val="006C196E"/>
    <w:rsid w:val="006C252F"/>
    <w:rsid w:val="006C4E25"/>
    <w:rsid w:val="006F4F4C"/>
    <w:rsid w:val="006F56AE"/>
    <w:rsid w:val="006F5FB8"/>
    <w:rsid w:val="007012F7"/>
    <w:rsid w:val="00701FEF"/>
    <w:rsid w:val="0070208E"/>
    <w:rsid w:val="0072694A"/>
    <w:rsid w:val="00741DB9"/>
    <w:rsid w:val="00741F1A"/>
    <w:rsid w:val="00744B01"/>
    <w:rsid w:val="007463C2"/>
    <w:rsid w:val="00753689"/>
    <w:rsid w:val="00754AF9"/>
    <w:rsid w:val="00762E18"/>
    <w:rsid w:val="0077292F"/>
    <w:rsid w:val="007747AA"/>
    <w:rsid w:val="00774A00"/>
    <w:rsid w:val="00782ABD"/>
    <w:rsid w:val="00784AD4"/>
    <w:rsid w:val="00786837"/>
    <w:rsid w:val="007C0EDC"/>
    <w:rsid w:val="007D1276"/>
    <w:rsid w:val="007D499E"/>
    <w:rsid w:val="007E4970"/>
    <w:rsid w:val="007E5CA3"/>
    <w:rsid w:val="007F7B7E"/>
    <w:rsid w:val="00800F4A"/>
    <w:rsid w:val="0080218D"/>
    <w:rsid w:val="008075C1"/>
    <w:rsid w:val="0081048A"/>
    <w:rsid w:val="00813ECC"/>
    <w:rsid w:val="0082175B"/>
    <w:rsid w:val="008223C6"/>
    <w:rsid w:val="00831806"/>
    <w:rsid w:val="00831FB5"/>
    <w:rsid w:val="00833A25"/>
    <w:rsid w:val="00835018"/>
    <w:rsid w:val="00840133"/>
    <w:rsid w:val="00850561"/>
    <w:rsid w:val="008560BD"/>
    <w:rsid w:val="008603FF"/>
    <w:rsid w:val="0086478C"/>
    <w:rsid w:val="0086592E"/>
    <w:rsid w:val="008673D3"/>
    <w:rsid w:val="0087009A"/>
    <w:rsid w:val="00877B8B"/>
    <w:rsid w:val="008808FF"/>
    <w:rsid w:val="0088458E"/>
    <w:rsid w:val="00887899"/>
    <w:rsid w:val="00890FFF"/>
    <w:rsid w:val="00897A11"/>
    <w:rsid w:val="008A25BF"/>
    <w:rsid w:val="008B4B29"/>
    <w:rsid w:val="008D4847"/>
    <w:rsid w:val="0091170C"/>
    <w:rsid w:val="009142A7"/>
    <w:rsid w:val="00915F63"/>
    <w:rsid w:val="009315E6"/>
    <w:rsid w:val="0093238E"/>
    <w:rsid w:val="009350F6"/>
    <w:rsid w:val="00946DE9"/>
    <w:rsid w:val="00955781"/>
    <w:rsid w:val="00964A51"/>
    <w:rsid w:val="0097005B"/>
    <w:rsid w:val="00973E60"/>
    <w:rsid w:val="009773D2"/>
    <w:rsid w:val="00987E66"/>
    <w:rsid w:val="00994760"/>
    <w:rsid w:val="00997A0F"/>
    <w:rsid w:val="009A253F"/>
    <w:rsid w:val="009A6896"/>
    <w:rsid w:val="009B32D2"/>
    <w:rsid w:val="009B49B2"/>
    <w:rsid w:val="009B6ED4"/>
    <w:rsid w:val="009C73E1"/>
    <w:rsid w:val="009E26A5"/>
    <w:rsid w:val="009E66A7"/>
    <w:rsid w:val="009E705D"/>
    <w:rsid w:val="009F6095"/>
    <w:rsid w:val="00A036B7"/>
    <w:rsid w:val="00A25168"/>
    <w:rsid w:val="00A25A79"/>
    <w:rsid w:val="00A321EF"/>
    <w:rsid w:val="00A50FCC"/>
    <w:rsid w:val="00A60C1B"/>
    <w:rsid w:val="00A634BC"/>
    <w:rsid w:val="00A654B9"/>
    <w:rsid w:val="00A769CB"/>
    <w:rsid w:val="00A7796C"/>
    <w:rsid w:val="00A938D5"/>
    <w:rsid w:val="00A948F3"/>
    <w:rsid w:val="00A9490E"/>
    <w:rsid w:val="00A95A1B"/>
    <w:rsid w:val="00AA61C3"/>
    <w:rsid w:val="00AB4C26"/>
    <w:rsid w:val="00AC5061"/>
    <w:rsid w:val="00AD4693"/>
    <w:rsid w:val="00AD6013"/>
    <w:rsid w:val="00AE42EF"/>
    <w:rsid w:val="00AF3E7C"/>
    <w:rsid w:val="00B06B66"/>
    <w:rsid w:val="00B103DE"/>
    <w:rsid w:val="00B13D2A"/>
    <w:rsid w:val="00B22B5C"/>
    <w:rsid w:val="00B26FE3"/>
    <w:rsid w:val="00B36906"/>
    <w:rsid w:val="00B47E3E"/>
    <w:rsid w:val="00B513EF"/>
    <w:rsid w:val="00B561BC"/>
    <w:rsid w:val="00B7612C"/>
    <w:rsid w:val="00B80375"/>
    <w:rsid w:val="00B92689"/>
    <w:rsid w:val="00B953A6"/>
    <w:rsid w:val="00BA1E83"/>
    <w:rsid w:val="00BB1087"/>
    <w:rsid w:val="00BB5DEF"/>
    <w:rsid w:val="00BC47E5"/>
    <w:rsid w:val="00BC5725"/>
    <w:rsid w:val="00BC5729"/>
    <w:rsid w:val="00BC7DAA"/>
    <w:rsid w:val="00BE0F0E"/>
    <w:rsid w:val="00BE4447"/>
    <w:rsid w:val="00BE507F"/>
    <w:rsid w:val="00BF07D8"/>
    <w:rsid w:val="00BF67F7"/>
    <w:rsid w:val="00C02A29"/>
    <w:rsid w:val="00C02BEB"/>
    <w:rsid w:val="00C0401D"/>
    <w:rsid w:val="00C04A09"/>
    <w:rsid w:val="00C06C6D"/>
    <w:rsid w:val="00C11E41"/>
    <w:rsid w:val="00C161C6"/>
    <w:rsid w:val="00C21DFB"/>
    <w:rsid w:val="00C32828"/>
    <w:rsid w:val="00C428B5"/>
    <w:rsid w:val="00C502D1"/>
    <w:rsid w:val="00C535D1"/>
    <w:rsid w:val="00C669B0"/>
    <w:rsid w:val="00C66E7D"/>
    <w:rsid w:val="00C712B1"/>
    <w:rsid w:val="00C7224C"/>
    <w:rsid w:val="00C72282"/>
    <w:rsid w:val="00C7510F"/>
    <w:rsid w:val="00C84373"/>
    <w:rsid w:val="00C84950"/>
    <w:rsid w:val="00C95702"/>
    <w:rsid w:val="00C966E8"/>
    <w:rsid w:val="00CA5DF7"/>
    <w:rsid w:val="00CB6519"/>
    <w:rsid w:val="00CB7F1F"/>
    <w:rsid w:val="00CC0383"/>
    <w:rsid w:val="00CD18C3"/>
    <w:rsid w:val="00D07B72"/>
    <w:rsid w:val="00D14DE9"/>
    <w:rsid w:val="00D16AF8"/>
    <w:rsid w:val="00D1773B"/>
    <w:rsid w:val="00D2190A"/>
    <w:rsid w:val="00D22664"/>
    <w:rsid w:val="00D24F36"/>
    <w:rsid w:val="00D262B1"/>
    <w:rsid w:val="00D41B89"/>
    <w:rsid w:val="00D436D7"/>
    <w:rsid w:val="00D4398E"/>
    <w:rsid w:val="00D44204"/>
    <w:rsid w:val="00D51D78"/>
    <w:rsid w:val="00D565B3"/>
    <w:rsid w:val="00D607BC"/>
    <w:rsid w:val="00D6675A"/>
    <w:rsid w:val="00D67F30"/>
    <w:rsid w:val="00D727AB"/>
    <w:rsid w:val="00D73EF5"/>
    <w:rsid w:val="00D806C2"/>
    <w:rsid w:val="00D901EC"/>
    <w:rsid w:val="00DA3905"/>
    <w:rsid w:val="00DA4D8D"/>
    <w:rsid w:val="00DB4E11"/>
    <w:rsid w:val="00DC61DA"/>
    <w:rsid w:val="00DD3361"/>
    <w:rsid w:val="00DE0D1E"/>
    <w:rsid w:val="00DF7122"/>
    <w:rsid w:val="00E03CBB"/>
    <w:rsid w:val="00E05FF8"/>
    <w:rsid w:val="00E223B2"/>
    <w:rsid w:val="00E312B6"/>
    <w:rsid w:val="00E36CB4"/>
    <w:rsid w:val="00E42819"/>
    <w:rsid w:val="00E50051"/>
    <w:rsid w:val="00E607EE"/>
    <w:rsid w:val="00E70E94"/>
    <w:rsid w:val="00E71A45"/>
    <w:rsid w:val="00E75FE8"/>
    <w:rsid w:val="00E76700"/>
    <w:rsid w:val="00E84843"/>
    <w:rsid w:val="00E84B3B"/>
    <w:rsid w:val="00E86A0A"/>
    <w:rsid w:val="00E87590"/>
    <w:rsid w:val="00E92FEA"/>
    <w:rsid w:val="00E97B2F"/>
    <w:rsid w:val="00EB2C55"/>
    <w:rsid w:val="00EB44F1"/>
    <w:rsid w:val="00EB4522"/>
    <w:rsid w:val="00EC344E"/>
    <w:rsid w:val="00ED2026"/>
    <w:rsid w:val="00ED3226"/>
    <w:rsid w:val="00ED3593"/>
    <w:rsid w:val="00EE16E7"/>
    <w:rsid w:val="00EE4AD9"/>
    <w:rsid w:val="00EE6112"/>
    <w:rsid w:val="00EF0388"/>
    <w:rsid w:val="00EF55AD"/>
    <w:rsid w:val="00EF607B"/>
    <w:rsid w:val="00F13671"/>
    <w:rsid w:val="00F215B3"/>
    <w:rsid w:val="00F33DEE"/>
    <w:rsid w:val="00F404F8"/>
    <w:rsid w:val="00F417C5"/>
    <w:rsid w:val="00F52145"/>
    <w:rsid w:val="00F564A4"/>
    <w:rsid w:val="00F60D26"/>
    <w:rsid w:val="00F64E4E"/>
    <w:rsid w:val="00F71458"/>
    <w:rsid w:val="00F77D22"/>
    <w:rsid w:val="00F976B7"/>
    <w:rsid w:val="00FD0E7F"/>
    <w:rsid w:val="00FE4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place"/>
  <w:shapeDefaults>
    <o:shapedefaults v:ext="edit" spidmax="6146"/>
    <o:shapelayout v:ext="edit">
      <o:idmap v:ext="edit" data="1"/>
      <o:rules v:ext="edit">
        <o:r id="V:Rule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5905"/>
  </w:style>
  <w:style w:type="paragraph" w:styleId="Heading1">
    <w:name w:val="heading 1"/>
    <w:basedOn w:val="Normal"/>
    <w:next w:val="Normal"/>
    <w:qFormat/>
    <w:rsid w:val="00515905"/>
    <w:pPr>
      <w:keepNext/>
      <w:spacing w:after="120"/>
      <w:ind w:left="634"/>
      <w:outlineLvl w:val="0"/>
    </w:pPr>
    <w:rPr>
      <w:sz w:val="28"/>
    </w:rPr>
  </w:style>
  <w:style w:type="paragraph" w:styleId="Heading2">
    <w:name w:val="heading 2"/>
    <w:basedOn w:val="Normal"/>
    <w:next w:val="Normal"/>
    <w:qFormat/>
    <w:rsid w:val="00515905"/>
    <w:pPr>
      <w:keepNext/>
      <w:ind w:left="630"/>
      <w:outlineLvl w:val="1"/>
    </w:pPr>
    <w:rPr>
      <w:i/>
      <w:sz w:val="23"/>
    </w:rPr>
  </w:style>
  <w:style w:type="paragraph" w:styleId="Heading3">
    <w:name w:val="heading 3"/>
    <w:basedOn w:val="Normal"/>
    <w:next w:val="Normal"/>
    <w:qFormat/>
    <w:rsid w:val="00515905"/>
    <w:pPr>
      <w:keepNext/>
      <w:jc w:val="center"/>
      <w:outlineLvl w:val="2"/>
    </w:pPr>
    <w:rPr>
      <w:sz w:val="28"/>
    </w:rPr>
  </w:style>
  <w:style w:type="paragraph" w:styleId="Heading4">
    <w:name w:val="heading 4"/>
    <w:basedOn w:val="Normal"/>
    <w:next w:val="Normal"/>
    <w:qFormat/>
    <w:rsid w:val="00515905"/>
    <w:pPr>
      <w:keepNext/>
      <w:jc w:val="center"/>
      <w:outlineLvl w:val="3"/>
    </w:pPr>
    <w:rPr>
      <w:b/>
      <w:sz w:val="22"/>
    </w:rPr>
  </w:style>
  <w:style w:type="paragraph" w:styleId="Heading5">
    <w:name w:val="heading 5"/>
    <w:basedOn w:val="Normal"/>
    <w:next w:val="Normal"/>
    <w:qFormat/>
    <w:rsid w:val="00515905"/>
    <w:pPr>
      <w:keepNext/>
      <w:spacing w:after="120"/>
      <w:ind w:left="720"/>
      <w:outlineLvl w:val="4"/>
    </w:pPr>
    <w:rPr>
      <w:b/>
      <w:sz w:val="22"/>
    </w:rPr>
  </w:style>
  <w:style w:type="paragraph" w:styleId="Heading6">
    <w:name w:val="heading 6"/>
    <w:basedOn w:val="Normal"/>
    <w:next w:val="Normal"/>
    <w:qFormat/>
    <w:rsid w:val="00515905"/>
    <w:pPr>
      <w:keepNext/>
      <w:jc w:val="center"/>
      <w:outlineLvl w:val="5"/>
    </w:pPr>
    <w:rPr>
      <w:b/>
      <w:sz w:val="24"/>
    </w:rPr>
  </w:style>
  <w:style w:type="paragraph" w:styleId="Heading7">
    <w:name w:val="heading 7"/>
    <w:basedOn w:val="Normal"/>
    <w:next w:val="Normal"/>
    <w:qFormat/>
    <w:rsid w:val="00515905"/>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515905"/>
    <w:pPr>
      <w:keepNext/>
      <w:spacing w:after="120"/>
      <w:outlineLvl w:val="7"/>
    </w:pPr>
    <w:rPr>
      <w:b/>
      <w:caps/>
      <w:sz w:val="22"/>
    </w:rPr>
  </w:style>
  <w:style w:type="paragraph" w:styleId="Heading9">
    <w:name w:val="heading 9"/>
    <w:basedOn w:val="Normal"/>
    <w:next w:val="Normal"/>
    <w:qFormat/>
    <w:rsid w:val="00515905"/>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515905"/>
    <w:rPr>
      <w:vertAlign w:val="superscript"/>
    </w:rPr>
  </w:style>
  <w:style w:type="paragraph" w:styleId="Header">
    <w:name w:val="header"/>
    <w:basedOn w:val="Normal"/>
    <w:rsid w:val="00515905"/>
    <w:pPr>
      <w:tabs>
        <w:tab w:val="center" w:pos="4320"/>
        <w:tab w:val="right" w:pos="8640"/>
      </w:tabs>
    </w:pPr>
  </w:style>
  <w:style w:type="character" w:styleId="PageNumber">
    <w:name w:val="page number"/>
    <w:basedOn w:val="DefaultParagraphFont"/>
    <w:rsid w:val="00515905"/>
  </w:style>
  <w:style w:type="paragraph" w:styleId="Footer">
    <w:name w:val="footer"/>
    <w:basedOn w:val="Normal"/>
    <w:rsid w:val="00515905"/>
    <w:pPr>
      <w:tabs>
        <w:tab w:val="center" w:pos="4320"/>
        <w:tab w:val="right" w:pos="8640"/>
      </w:tabs>
    </w:pPr>
  </w:style>
  <w:style w:type="paragraph" w:styleId="BodyTextIndent">
    <w:name w:val="Body Text Indent"/>
    <w:basedOn w:val="Normal"/>
    <w:rsid w:val="00515905"/>
    <w:pPr>
      <w:spacing w:after="120"/>
      <w:ind w:left="634"/>
    </w:pPr>
    <w:rPr>
      <w:sz w:val="24"/>
    </w:rPr>
  </w:style>
  <w:style w:type="paragraph" w:styleId="BodyTextIndent2">
    <w:name w:val="Body Text Indent 2"/>
    <w:basedOn w:val="Normal"/>
    <w:rsid w:val="00515905"/>
    <w:pPr>
      <w:tabs>
        <w:tab w:val="left" w:pos="630"/>
      </w:tabs>
      <w:spacing w:after="120"/>
      <w:ind w:left="630"/>
    </w:pPr>
    <w:rPr>
      <w:sz w:val="24"/>
    </w:rPr>
  </w:style>
  <w:style w:type="paragraph" w:styleId="BodyTextIndent3">
    <w:name w:val="Body Text Indent 3"/>
    <w:basedOn w:val="Normal"/>
    <w:rsid w:val="00515905"/>
    <w:pPr>
      <w:spacing w:before="240" w:after="120"/>
      <w:ind w:left="634"/>
      <w:jc w:val="center"/>
    </w:pPr>
    <w:rPr>
      <w:caps/>
      <w:sz w:val="24"/>
    </w:rPr>
  </w:style>
  <w:style w:type="paragraph" w:styleId="BodyText2">
    <w:name w:val="Body Text 2"/>
    <w:basedOn w:val="Normal"/>
    <w:rsid w:val="00515905"/>
    <w:pPr>
      <w:numPr>
        <w:ilvl w:val="12"/>
      </w:numPr>
      <w:spacing w:after="120"/>
      <w:jc w:val="both"/>
    </w:pPr>
    <w:rPr>
      <w:sz w:val="22"/>
    </w:rPr>
  </w:style>
  <w:style w:type="paragraph" w:styleId="Title">
    <w:name w:val="Title"/>
    <w:basedOn w:val="Normal"/>
    <w:qFormat/>
    <w:rsid w:val="00515905"/>
    <w:pPr>
      <w:jc w:val="center"/>
    </w:pPr>
    <w:rPr>
      <w:b/>
      <w:sz w:val="24"/>
    </w:rPr>
  </w:style>
  <w:style w:type="paragraph" w:styleId="BodyText">
    <w:name w:val="Body Text"/>
    <w:aliases w:val="SCA Body Text,SCA Body Text1,SCA Body Text2,SCA Body Text11,BodyText-JEA,BT-JEA"/>
    <w:basedOn w:val="Normal"/>
    <w:link w:val="BodyTextChar"/>
    <w:rsid w:val="00515905"/>
    <w:pPr>
      <w:spacing w:after="120"/>
    </w:pPr>
    <w:rPr>
      <w:sz w:val="24"/>
    </w:rPr>
  </w:style>
  <w:style w:type="paragraph" w:styleId="BodyText3">
    <w:name w:val="Body Text 3"/>
    <w:basedOn w:val="Normal"/>
    <w:rsid w:val="00515905"/>
    <w:pPr>
      <w:spacing w:before="120" w:after="120"/>
    </w:pPr>
    <w:rPr>
      <w:sz w:val="22"/>
    </w:rPr>
  </w:style>
  <w:style w:type="paragraph" w:customStyle="1" w:styleId="Style4">
    <w:name w:val="Style4"/>
    <w:next w:val="Normal"/>
    <w:rsid w:val="00515905"/>
    <w:rPr>
      <w:noProof/>
      <w:sz w:val="24"/>
    </w:rPr>
  </w:style>
  <w:style w:type="paragraph" w:styleId="BlockText">
    <w:name w:val="Block Text"/>
    <w:basedOn w:val="Normal"/>
    <w:rsid w:val="00515905"/>
    <w:pPr>
      <w:spacing w:after="120"/>
      <w:ind w:left="720" w:right="43"/>
      <w:jc w:val="both"/>
    </w:pPr>
    <w:rPr>
      <w:sz w:val="22"/>
    </w:rPr>
  </w:style>
  <w:style w:type="character" w:styleId="Hyperlink">
    <w:name w:val="Hyperlink"/>
    <w:basedOn w:val="DefaultParagraphFont"/>
    <w:rsid w:val="00515905"/>
    <w:rPr>
      <w:color w:val="0000FF"/>
      <w:u w:val="single"/>
    </w:rPr>
  </w:style>
  <w:style w:type="paragraph" w:customStyle="1" w:styleId="SCATableHeading">
    <w:name w:val="SCA Table Heading"/>
    <w:basedOn w:val="Normal"/>
    <w:rsid w:val="00515905"/>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73E60"/>
    <w:rPr>
      <w:rFonts w:ascii="Tahoma" w:hAnsi="Tahoma" w:cs="Tahoma"/>
      <w:sz w:val="16"/>
      <w:szCs w:val="16"/>
    </w:rPr>
  </w:style>
  <w:style w:type="character" w:customStyle="1" w:styleId="BalloonTextChar">
    <w:name w:val="Balloon Text Char"/>
    <w:basedOn w:val="DefaultParagraphFont"/>
    <w:link w:val="BalloonText"/>
    <w:rsid w:val="00973E60"/>
    <w:rPr>
      <w:rFonts w:ascii="Tahoma" w:hAnsi="Tahoma" w:cs="Tahoma"/>
      <w:sz w:val="16"/>
      <w:szCs w:val="16"/>
    </w:rPr>
  </w:style>
  <w:style w:type="paragraph" w:styleId="CommentText">
    <w:name w:val="annotation text"/>
    <w:basedOn w:val="Normal"/>
    <w:link w:val="CommentTextChar"/>
    <w:rsid w:val="00997A0F"/>
  </w:style>
  <w:style w:type="character" w:customStyle="1" w:styleId="CommentTextChar">
    <w:name w:val="Comment Text Char"/>
    <w:basedOn w:val="DefaultParagraphFont"/>
    <w:link w:val="CommentText"/>
    <w:rsid w:val="00997A0F"/>
  </w:style>
  <w:style w:type="paragraph" w:customStyle="1" w:styleId="ReferenceLine">
    <w:name w:val="Reference Line"/>
    <w:basedOn w:val="BodyText"/>
    <w:rsid w:val="00997A0F"/>
    <w:pPr>
      <w:tabs>
        <w:tab w:val="left" w:pos="0"/>
      </w:tabs>
      <w:suppressAutoHyphens/>
      <w:spacing w:after="0"/>
    </w:pPr>
    <w:rPr>
      <w:sz w:val="22"/>
    </w:rPr>
  </w:style>
  <w:style w:type="paragraph" w:styleId="DocumentMap">
    <w:name w:val="Document Map"/>
    <w:basedOn w:val="Normal"/>
    <w:link w:val="DocumentMapChar"/>
    <w:rsid w:val="003A2FA2"/>
    <w:rPr>
      <w:rFonts w:ascii="Tahoma" w:hAnsi="Tahoma" w:cs="Tahoma"/>
      <w:sz w:val="16"/>
      <w:szCs w:val="16"/>
    </w:rPr>
  </w:style>
  <w:style w:type="character" w:customStyle="1" w:styleId="DocumentMapChar">
    <w:name w:val="Document Map Char"/>
    <w:basedOn w:val="DefaultParagraphFont"/>
    <w:link w:val="DocumentMap"/>
    <w:rsid w:val="003A2FA2"/>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81048A"/>
    <w:rPr>
      <w:sz w:val="24"/>
    </w:rPr>
  </w:style>
  <w:style w:type="table" w:styleId="TableGrid">
    <w:name w:val="Table Grid"/>
    <w:basedOn w:val="TableNormal"/>
    <w:rsid w:val="00D73E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B26FE3"/>
    <w:pPr>
      <w:spacing w:before="100" w:beforeAutospacing="1" w:after="100" w:afterAutospacing="1"/>
      <w:ind w:firstLine="480"/>
    </w:pPr>
    <w:rPr>
      <w:sz w:val="24"/>
      <w:szCs w:val="24"/>
    </w:rPr>
  </w:style>
  <w:style w:type="character" w:styleId="CommentReference">
    <w:name w:val="annotation reference"/>
    <w:basedOn w:val="DefaultParagraphFont"/>
    <w:rsid w:val="0080218D"/>
    <w:rPr>
      <w:sz w:val="16"/>
      <w:szCs w:val="16"/>
    </w:rPr>
  </w:style>
  <w:style w:type="paragraph" w:styleId="Caption">
    <w:name w:val="caption"/>
    <w:basedOn w:val="Normal"/>
    <w:next w:val="Normal"/>
    <w:qFormat/>
    <w:rsid w:val="0080218D"/>
    <w:pPr>
      <w:spacing w:before="360" w:after="120"/>
    </w:pPr>
    <w:rPr>
      <w:b/>
      <w:caps/>
      <w:sz w:val="22"/>
    </w:rPr>
  </w:style>
</w:styles>
</file>

<file path=word/webSettings.xml><?xml version="1.0" encoding="utf-8"?>
<w:webSettings xmlns:r="http://schemas.openxmlformats.org/officeDocument/2006/relationships" xmlns:w="http://schemas.openxmlformats.org/wordprocessingml/2006/main">
  <w:divs>
    <w:div w:id="121581047">
      <w:bodyDiv w:val="1"/>
      <w:marLeft w:val="0"/>
      <w:marRight w:val="0"/>
      <w:marTop w:val="21"/>
      <w:marBottom w:val="522"/>
      <w:divBdr>
        <w:top w:val="none" w:sz="0" w:space="0" w:color="auto"/>
        <w:left w:val="none" w:sz="0" w:space="0" w:color="auto"/>
        <w:bottom w:val="none" w:sz="0" w:space="0" w:color="auto"/>
        <w:right w:val="none" w:sz="0" w:space="0" w:color="auto"/>
      </w:divBdr>
      <w:divsChild>
        <w:div w:id="1841121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ammy.mcwade@dep.state.fl.us" TargetMode="Externa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CE65D-F4EB-4BFC-9E76-CEE6F874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4058</Words>
  <Characters>21918</Characters>
  <Application>Microsoft Office Word</Application>
  <DocSecurity>0</DocSecurity>
  <Lines>438</Lines>
  <Paragraphs>273</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25703</CharactersWithSpaces>
  <SharedDoc>false</SharedDoc>
  <HLinks>
    <vt:vector size="6" baseType="variant">
      <vt:variant>
        <vt:i4>4194340</vt:i4>
      </vt:variant>
      <vt:variant>
        <vt:i4>6</vt:i4>
      </vt:variant>
      <vt:variant>
        <vt:i4>0</vt:i4>
      </vt:variant>
      <vt:variant>
        <vt:i4>5</vt:i4>
      </vt:variant>
      <vt:variant>
        <vt:lpwstr>mailto:tammy.mcwade@dep.state.fl.us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read_d</cp:lastModifiedBy>
  <cp:revision>3</cp:revision>
  <cp:lastPrinted>2013-05-03T13:46:00Z</cp:lastPrinted>
  <dcterms:created xsi:type="dcterms:W3CDTF">2013-05-16T16:42:00Z</dcterms:created>
  <dcterms:modified xsi:type="dcterms:W3CDTF">2013-05-16T16:43:00Z</dcterms:modified>
</cp:coreProperties>
</file>